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6.4.0 -->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120" w:after="0" w:line="288" w:lineRule="auto"/>
        <w:ind w:left="0" w:right="0" w:firstLine="0"/>
        <w:jc w:val="center"/>
        <w:outlineLvl w:val="0"/>
        <w:rPr>
          <w:rFonts w:ascii="Times New Roman" w:eastAsia="Times New Roman" w:hAnsi="Times New Roman" w:cs="Times New Roman"/>
          <w:b/>
          <w:i w:val="0"/>
          <w:sz w:val="32"/>
        </w:rPr>
      </w:pPr>
      <w:r>
        <w:rPr>
          <w:rFonts w:ascii="Times New Roman" w:eastAsia="Times New Roman" w:hAnsi="Times New Roman" w:cs="Times New Roman"/>
          <w:b/>
          <w:i w:val="0"/>
          <w:sz w:val="32"/>
        </w:rPr>
        <w:t>UNITED STATES</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SECURITIES AND EXCHANGE COMMISSION</w:t>
      </w:r>
    </w:p>
    <w:p>
      <w:pPr>
        <w:keepNext w:val="0"/>
        <w:keepLines w:val="0"/>
        <w:pageBreakBefore w:val="0"/>
        <w:widowControl/>
        <w:numPr>
          <w:ilvl w:val="0"/>
          <w:numId w:val="0"/>
        </w:numPr>
        <w:spacing w:before="0" w:after="10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Washington, D.C. 20549</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rPr>
          <w:rFonts w:ascii="Times New Roman" w:eastAsia="Times New Roman" w:hAnsi="Times New Roman" w:cs="Times New Roman"/>
          <w:b/>
          <w:i w:val="0"/>
          <w:sz w:val="32"/>
        </w:rPr>
        <w:t xml:space="preserve">FORM </w:t>
      </w:r>
      <w:r>
        <w:rPr>
          <w:rFonts w:ascii="Times New Roman" w:eastAsia="Times New Roman" w:hAnsi="Times New Roman" w:cs="Times New Roman"/>
          <w:b/>
          <w:i w:val="0"/>
          <w:color w:val="000000"/>
          <w:sz w:val="32"/>
          <w:u w:val="none"/>
        </w:rPr>
        <w:t>8-K</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CURRENT REPORT</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Pursuant to Section 13 OR 15(d) of The Securities Exchange Act of 1934 </w:t>
      </w:r>
    </w:p>
    <w:p>
      <w:pPr>
        <w:keepNext w:val="0"/>
        <w:keepLines w:val="0"/>
        <w:pageBreakBefore w:val="0"/>
        <w:widowControl/>
        <w:numPr>
          <w:ilvl w:val="0"/>
          <w:numId w:val="0"/>
        </w:numPr>
        <w:tabs>
          <w:tab w:val="left" w:pos="9980"/>
          <w:tab w:val="left" w:pos="10080"/>
          <w:tab w:val="left" w:pos="10800"/>
          <w:tab w:val="left" w:pos="11520"/>
        </w:tabs>
        <w:spacing w:before="120" w:after="6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Date of Report (Date of earliest event reported):  </w:t>
      </w:r>
      <w:r>
        <w:rPr>
          <w:rFonts w:ascii="Times New Roman" w:eastAsia="Times New Roman" w:hAnsi="Times New Roman" w:cs="Times New Roman"/>
          <w:b/>
          <w:i w:val="0"/>
          <w:color w:val="000000"/>
          <w:sz w:val="22"/>
          <w:u w:val="none"/>
        </w:rPr>
        <w:t>October 1, 2026</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8.5pt">
            <v:imagedata r:id="rId4" o:title=""/>
            <o:lock v:ext="edit" aspectratio="t"/>
          </v:shape>
        </w:pic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6"/>
        </w:rPr>
      </w:pPr>
      <w:r>
        <w:rPr>
          <w:rFonts w:ascii="Times New Roman" w:eastAsia="Times New Roman" w:hAnsi="Times New Roman" w:cs="Times New Roman"/>
          <w:b/>
          <w:i w:val="0"/>
          <w:color w:val="000000"/>
          <w:sz w:val="36"/>
          <w:u w:val="none"/>
        </w:rPr>
        <w:t>NN, Inc.</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sz w:val="18"/>
        </w:rPr>
        <w:t>(Exact name of registrant as specified in its charter)</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3000"/>
        <w:gridCol w:w="3000"/>
      </w:tblGrid>
      <w:tr>
        <w:tblPrEx>
          <w:tblW w:w="9000" w:type="dxa"/>
          <w:tblLayout w:type="fixed"/>
        </w:tblPrEx>
        <w:trPr>
          <w:cantSplit/>
          <w:trHeight w:hRule="exact" w:val="285"/>
        </w:trPr>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Delaware</w:t>
            </w: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001-39268</w:t>
            </w:r>
          </w:p>
        </w:tc>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62-1096725</w:t>
            </w:r>
          </w:p>
        </w:tc>
      </w:tr>
      <w:tr>
        <w:tblPrEx>
          <w:tblW w:w="9000" w:type="dxa"/>
          <w:tblLayout w:type="fixed"/>
        </w:tblPrEx>
        <w:trPr>
          <w:cantSplit/>
          <w:trHeight w:hRule="exact" w:val="465"/>
        </w:trPr>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(State or other jurisdiction of</w:t>
            </w:r>
          </w:p>
          <w:p>
            <w:pPr>
              <w:spacing w:after="30" w:line="240" w:lineRule="auto"/>
              <w:jc w:val="center"/>
            </w:pPr>
            <w:r>
              <w:rPr>
                <w:rFonts w:ascii="Times New Roman" w:eastAsia="Times New Roman" w:hAnsi="Times New Roman" w:cs="Times New Roman"/>
                <w:b w:val="0"/>
                <w:i/>
                <w:color w:val="000000"/>
                <w:sz w:val="18"/>
                <w:u w:val="none"/>
              </w:rPr>
              <w:t>incorporation)</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val="0"/>
                <w:i/>
                <w:color w:val="000000"/>
                <w:sz w:val="18"/>
                <w:u w:val="none"/>
              </w:rPr>
              <w:t>(Commission File Number)</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(I.R.S. Employer</w:t>
            </w:r>
          </w:p>
          <w:p>
            <w:pPr>
              <w:spacing w:after="30" w:line="240" w:lineRule="auto"/>
              <w:jc w:val="center"/>
            </w:pPr>
            <w:r>
              <w:rPr>
                <w:rFonts w:ascii="Times New Roman" w:eastAsia="Times New Roman" w:hAnsi="Times New Roman" w:cs="Times New Roman"/>
                <w:b w:val="0"/>
                <w:i/>
                <w:color w:val="000000"/>
                <w:sz w:val="18"/>
                <w:u w:val="none"/>
              </w:rPr>
              <w:t>Identification No.)</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2"/>
        </w:rPr>
      </w:pP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675"/>
        <w:gridCol w:w="2205"/>
        <w:gridCol w:w="1605"/>
      </w:tblGrid>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6210 Ardrey Kell Road</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 xml:space="preserve"> Suite 120</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Charlotte</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North Carolina</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28277</w:t>
            </w:r>
          </w:p>
        </w:tc>
      </w:tr>
      <w:tr>
        <w:tblPrEx>
          <w:tblW w:w="7485" w:type="dxa"/>
          <w:tblLayout w:type="fixed"/>
        </w:tblPrEx>
        <w:trPr>
          <w:cantSplit/>
          <w:trHeight w:hRule="exact" w:val="315"/>
        </w:trPr>
        <w:tc>
          <w:tcPr>
            <w:tcW w:w="367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(Address of principal executive offices)</w:t>
            </w:r>
          </w:p>
        </w:tc>
        <w:tc>
          <w:tcPr>
            <w:tcW w:w="2205" w:type="dxa"/>
            <w:tcBorders>
              <w:top w:val="nil"/>
              <w:left w:val="nil"/>
              <w:bottom w:val="nil"/>
              <w:right w:val="nil"/>
            </w:tcBorders>
            <w:tcMar>
              <w:top w:w="0" w:type="dxa"/>
              <w:left w:w="0" w:type="dxa"/>
              <w:bottom w:w="0" w:type="dxa"/>
              <w:right w:w="0" w:type="dxa"/>
            </w:tcMar>
            <w:vAlign w:val="bottom"/>
          </w:tcPr>
          <w:p>
            <w:pPr>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(Zip Code)</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p>
    <w:p>
      <w:pPr>
        <w:keepNext w:val="0"/>
        <w:keepLines w:val="0"/>
        <w:pageBreakBefore w:val="0"/>
        <w:widowControl/>
        <w:numPr>
          <w:ilvl w:val="0"/>
          <w:numId w:val="0"/>
        </w:numPr>
        <w:spacing w:before="6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(980)</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264-4300</w:t>
      </w:r>
    </w:p>
    <w:p>
      <w:pPr>
        <w:keepNext w:val="0"/>
        <w:keepLines w:val="0"/>
        <w:pageBreakBefore w:val="0"/>
        <w:widowControl/>
        <w:numPr>
          <w:ilvl w:val="0"/>
          <w:numId w:val="0"/>
        </w:numPr>
        <w:spacing w:before="0" w:after="60" w:line="240" w:lineRule="auto"/>
        <w:ind w:left="0" w:right="0" w:firstLine="0"/>
        <w:jc w:val="center"/>
        <w:outlineLvl w:val="9"/>
        <w:rPr>
          <w:rFonts w:ascii="Times New Roman" w:eastAsia="Times New Roman" w:hAnsi="Times New Roman" w:cs="Times New Roman"/>
          <w:b w:val="0"/>
          <w:i/>
          <w:sz w:val="18"/>
        </w:rPr>
      </w:pPr>
      <w:r>
        <w:rPr>
          <w:rFonts w:ascii="Times New Roman" w:eastAsia="Times New Roman" w:hAnsi="Times New Roman" w:cs="Times New Roman"/>
          <w:b w:val="0"/>
          <w:i/>
          <w:sz w:val="18"/>
        </w:rPr>
        <w:t>(Registrant’s telephone number, including area code) </w:t>
      </w:r>
    </w:p>
    <w:p>
      <w:pPr>
        <w:keepNext w:val="0"/>
        <w:keepLines w:val="0"/>
        <w:pageBreakBefore w:val="0"/>
        <w:widowControl/>
        <w:numPr>
          <w:ilvl w:val="0"/>
          <w:numId w:val="0"/>
        </w:numPr>
        <w:spacing w:before="180" w:after="0" w:line="240" w:lineRule="auto"/>
        <w:ind w:left="0" w:right="0" w:firstLine="0"/>
        <w:jc w:val="center"/>
        <w:outlineLvl w:val="9"/>
        <w:rPr>
          <w:rFonts w:ascii="Times New Roman" w:eastAsia="Times New Roman" w:hAnsi="Times New Roman" w:cs="Times New Roman"/>
          <w:b/>
          <w:i w:val="0"/>
          <w:sz w:val="16"/>
        </w:rPr>
      </w:pPr>
      <w:r>
        <w:rPr>
          <w:rFonts w:ascii="Times New Roman" w:eastAsia="Times New Roman" w:hAnsi="Times New Roman" w:cs="Times New Roman"/>
          <w:b/>
          <w:i w:val="0"/>
          <w:sz w:val="16"/>
        </w:rPr>
        <w:t>(Former name or former address, if changed since last report)</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60"/>
      </w:tblGrid>
      <w:tr>
        <w:tblPrEx>
          <w:tblW w:w="3060" w:type="dxa"/>
          <w:tblLayout w:type="fixed"/>
        </w:tblPrEx>
        <w:trPr>
          <w:cantSplit/>
          <w:trHeight w:hRule="exact" w:val="75"/>
        </w:trPr>
        <w:tc>
          <w:tcPr>
            <w:tcW w:w="3060" w:type="dxa"/>
            <w:tcBorders>
              <w:top w:val="single" w:sz="8" w:space="0" w:color="000000"/>
              <w:left w:val="nil"/>
              <w:bottom w:val="nil"/>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15"/>
        <w:gridCol w:w="994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Check the appropriate box if the Form 8-K filing is intended to simultaneously satisfy the filing obligation of the registrant under any of the following provisions (see General Instruction A.2. below):</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Written communications pursuant to Rule 425 under the Securities Act (17 CFR 230.425)</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Soliciting material pursuant to Rule 14a-12 under the Exchange Act (17 CFR 240.14a-12)</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14d-2(b) under the Exchange Act (17 CFR 240.14d- 2(b))</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13e-4(c) under the Exchange Act (17 CFR 240.13e- 4(c))</w:t>
            </w: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165"/>
        <w:gridCol w:w="3000"/>
        <w:gridCol w:w="165"/>
        <w:gridCol w:w="3000"/>
      </w:tblGrid>
      <w:tr>
        <w:tblPrEx>
          <w:tblW w:w="9330" w:type="dxa"/>
          <w:tblLayout w:type="fixed"/>
        </w:tblPrEx>
        <w:trPr>
          <w:cantSplit/>
          <w:trHeight w:hRule="exact" w:val="255"/>
        </w:trPr>
        <w:tc>
          <w:tcPr>
            <w:tcW w:w="9330" w:type="dxa"/>
            <w:gridSpan w:val="5"/>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6"/>
                <w:u w:val="none"/>
              </w:rPr>
              <w:t>Securities registered pursuant to Section 12(b) of the Act:</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Title of each class</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Trading symbol</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Name of each exchange on which registered</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Common Stock, par value $0.01</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NNBR</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The Nasdaq Stock Market LLC</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945"/>
        <w:gridCol w:w="31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Indicate by check mark whether the registrant is an emerging growth company as defined in Rule 405 of the Securities Act of 1933 (§230.405 of this chapter) or Rule 12b-2 of the Securities Exchange Act of 1934 (§240.12b-2 of this chapter).</w:t>
            </w:r>
          </w:p>
        </w:tc>
      </w:tr>
      <w:tr>
        <w:tblPrEx>
          <w:tblW w:w="10260" w:type="dxa"/>
          <w:tblLayout w:type="fixed"/>
        </w:tblPrEx>
        <w:trPr>
          <w:cantSplit/>
          <w:trHeight w:hRule="exact" w:val="345"/>
        </w:trPr>
        <w:tc>
          <w:tcPr>
            <w:tcW w:w="9945" w:type="dxa"/>
            <w:tcBorders>
              <w:top w:val="nil"/>
              <w:left w:val="nil"/>
              <w:bottom w:val="nil"/>
              <w:right w:val="nil"/>
            </w:tcBorders>
            <w:tcMar>
              <w:top w:w="0" w:type="dxa"/>
              <w:left w:w="0" w:type="dxa"/>
              <w:bottom w:w="0" w:type="dxa"/>
              <w:right w:w="53" w:type="dxa"/>
            </w:tcMar>
            <w:vAlign w:val="center"/>
          </w:tcPr>
          <w:p>
            <w:pPr>
              <w:keepNext/>
              <w:pageBreakBefore w:val="0"/>
              <w:spacing w:before="0" w:after="0" w:line="240" w:lineRule="auto"/>
              <w:jc w:val="right"/>
            </w:pPr>
            <w:r>
              <w:rPr>
                <w:rFonts w:ascii="Times New Roman" w:eastAsia="Times New Roman" w:hAnsi="Times New Roman" w:cs="Times New Roman"/>
                <w:b w:val="0"/>
                <w:i w:val="0"/>
                <w:color w:val="000000"/>
                <w:sz w:val="20"/>
                <w:u w:val="none"/>
              </w:rPr>
              <w:t xml:space="preserve">Emerging growth company.  </w:t>
            </w:r>
          </w:p>
        </w:tc>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center"/>
            </w:pPr>
            <w:r>
              <w:rPr>
                <w:rFonts w:ascii="Times New Roman" w:eastAsia="Times New Roman" w:hAnsi="Times New Roman" w:cs="Times New Roman"/>
                <w:b w:val="0"/>
                <w:i w:val="0"/>
                <w:color w:val="000000"/>
                <w:sz w:val="20"/>
                <w:u w:val="none"/>
              </w:rPr>
              <w:t>☐</w:t>
            </w:r>
          </w:p>
        </w:tc>
      </w:tr>
      <w:tr>
        <w:tblPrEx>
          <w:tblW w:w="10260" w:type="dxa"/>
          <w:tblLayout w:type="fixed"/>
        </w:tblPrEx>
        <w:trPr>
          <w:cantSplit/>
          <w:trHeight w:hRule="exact" w:val="735"/>
        </w:trPr>
        <w:tc>
          <w:tcPr>
            <w:tcW w:w="10260" w:type="dxa"/>
            <w:gridSpan w:val="2"/>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If an emerging growth company, indicate by check mark if the registrant has elected not to use the extended transition period for complying with any new or revised financial accounting standards provided pursuant to Section 13(a) of the Exchange Act.  ☐</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pP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sectPr>
          <w:headerReference w:type="default" r:id="rId5"/>
          <w:footerReference w:type="default" r:id="rId6"/>
          <w:type w:val="continuous"/>
          <w:pgSz w:w="12240" w:h="15840"/>
          <w:pgMar w:top="450" w:right="1440" w:bottom="1440" w:left="1440" w:header="0" w:footer="0" w:gutter="0"/>
          <w:cols w:space="720"/>
          <w:docGrid w:linePitch="360"/>
        </w:sectPr>
      </w:pPr>
    </w:p>
    <w:p>
      <w:pPr>
        <w:keepNext w:val="0"/>
        <w:keepLines w:val="0"/>
        <w:pageBreakBefore w:val="0"/>
        <w:widowControl/>
        <w:numPr>
          <w:ilvl w:val="0"/>
          <w:numId w:val="0"/>
        </w:numPr>
        <w:spacing w:before="0" w:after="0" w:line="334" w:lineRule="auto"/>
        <w:ind w:left="1440" w:right="0" w:hanging="1440"/>
        <w:jc w:val="left"/>
        <w:outlineLvl w:val="0"/>
        <w:rPr>
          <w:rFonts w:ascii="Times New Roman" w:eastAsia="Times New Roman" w:hAnsi="Times New Roman" w:cs="Times New Roman"/>
          <w:b w:val="0"/>
          <w:i w:val="0"/>
          <w:sz w:val="20"/>
        </w:rPr>
      </w:pPr>
      <w:bookmarkStart w:id="0" w:name="Section2"/>
      <w:bookmarkEnd w:id="0"/>
      <w:r>
        <w:rPr>
          <w:rFonts w:ascii="Times New Roman" w:eastAsia="Times New Roman" w:hAnsi="Times New Roman" w:cs="Times New Roman"/>
          <w:b/>
          <w:i w:val="0"/>
          <w:color w:val="000000"/>
          <w:sz w:val="20"/>
          <w:u w:val="none"/>
        </w:rPr>
        <w:t>ITEM 1.01</w:t>
      </w:r>
      <w:r>
        <w:rPr>
          <w:rFonts w:ascii="Times New Roman" w:eastAsia="Times New Roman" w:hAnsi="Times New Roman" w:cs="Times New Roman"/>
          <w:b/>
          <w:i w:val="0"/>
          <w:color w:val="000000"/>
          <w:sz w:val="20"/>
          <w:u w:val="none"/>
        </w:rPr>
        <w:t xml:space="preserve"> ENTRY INTO A MATERIAL DEFINITI</w:t>
      </w:r>
      <w:r>
        <w:rPr>
          <w:rFonts w:ascii="Times New Roman" w:eastAsia="Times New Roman" w:hAnsi="Times New Roman" w:cs="Times New Roman"/>
          <w:b/>
          <w:i w:val="0"/>
          <w:color w:val="000000"/>
          <w:sz w:val="20"/>
          <w:u w:val="none"/>
        </w:rPr>
        <w:t>VE AGREEMENT</w:t>
      </w:r>
    </w:p>
    <w:p>
      <w:pPr>
        <w:keepNext w:val="0"/>
        <w:keepLines w:val="0"/>
        <w:pageBreakBefore w:val="0"/>
        <w:widowControl/>
        <w:numPr>
          <w:ilvl w:val="0"/>
          <w:numId w:val="0"/>
        </w:numPr>
        <w:spacing w:before="0" w:after="0" w:line="334" w:lineRule="auto"/>
        <w:ind w:left="1440" w:right="0" w:hanging="1440"/>
        <w:jc w:val="left"/>
        <w:outlineLvl w:val="9"/>
        <w:rPr>
          <w:rFonts w:ascii="Times New Roman" w:eastAsia="Times New Roman" w:hAnsi="Times New Roman" w:cs="Times New Roman"/>
          <w:b/>
          <w:i w:val="0"/>
          <w:sz w:val="20"/>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 xml:space="preserve">On October 1, 2026, NN, Inc. (the “Company”) entered into a Securities Purchase Agreement (the “Purchase Agreement”) with certain institutional investors (the “Purchasers”), pursuant to which the Company agreed to sell and issue to the Purchasers 11,275,605 shares (the “Shares”) of the Company’s common stock (“Common Stock”) and pre-funded warrants (the “Pre-Funded Warrants”) to purchase up to 4,824,395 shares of Common Stock (the “Pre-Funded Warrant Shares”), in a private placement transaction (the “Private Placement”). The purchase price per share of Common Stock is $3.30 per share (the “Per Share Purchase Price”) and the purchase price per Pre-Funded Warrant is $3.29 (the “Per Pre-Funded Warrant Purchase Price”), for total gross proceeds of approximately $53 million. Each Pre-Funded Warrant has an exercise price of $0.01 per share of Common Stock, is immediately exercisable, subject to certain conditions set forth in the Pre-Funded Warrants, and will not expire. On October </w:t>
      </w:r>
      <w:r>
        <w:rPr>
          <w:rFonts w:ascii="Times New Roman" w:eastAsia="Times New Roman" w:hAnsi="Times New Roman" w:cs="Times New Roman"/>
          <w:b w:val="0"/>
          <w:i w:val="0"/>
          <w:sz w:val="20"/>
        </w:rPr>
        <w:t>5</w:t>
      </w:r>
      <w:r>
        <w:rPr>
          <w:rFonts w:ascii="Times New Roman" w:eastAsia="Times New Roman" w:hAnsi="Times New Roman" w:cs="Times New Roman"/>
          <w:b w:val="0"/>
          <w:i w:val="0"/>
          <w:sz w:val="20"/>
        </w:rPr>
        <w:t>, 2026, the Company closed on the Private Placement, resulting in approximately $50 million of net proceeds to the Company after deducting placement agent fees and estimated offering expenses. Immediately following the issuance of the Shares, the Company had 93,</w:t>
      </w:r>
      <w:r>
        <w:rPr>
          <w:rFonts w:ascii="Times New Roman" w:eastAsia="Times New Roman" w:hAnsi="Times New Roman" w:cs="Times New Roman"/>
          <w:b w:val="0"/>
          <w:i w:val="0"/>
          <w:sz w:val="20"/>
        </w:rPr>
        <w:t>744</w:t>
      </w: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210</w:t>
      </w:r>
      <w:r>
        <w:rPr>
          <w:rFonts w:ascii="Times New Roman" w:eastAsia="Times New Roman" w:hAnsi="Times New Roman" w:cs="Times New Roman"/>
          <w:b w:val="0"/>
          <w:i w:val="0"/>
          <w:sz w:val="20"/>
        </w:rPr>
        <w:t xml:space="preserve"> shares of Common Stock outstanding.</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 Purchase Agreement contains customary representations, warranties and agreements by the Company and the Purchasers, customary conditions to closing, and indemnification obligations of the Company and the Purchasers.</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Lake Street Capital Markets</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sz w:val="20"/>
        </w:rPr>
        <w:t>LLC acted as placement agent (the “Placement Agent”) for the Private Placement. The Placement Agent received a fee equal to 6.0% of the aggregate gross proceeds from the securities sold at the Closing, plus the reimbursement of certain expenses.</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In connection with the Private Placement, on October 1, 2026, the Company entered into a registration rights agreement (the “Registration Rights Agreement”) with the Purchasers. Under the Registration Rights Agreement, the Company has agreed to file a registration statement covering the resale by the Purchasers of the Shares and the Pre-Funded Warrant Shares within 45 days following the date of the Registration Rights Agreement (the “Filing Date”) and to use commercially reasonable efforts to cause such registration statement to be declared effective within 45 days following the Filing Date (or in the case of a “full review” by the Securities and Exchange Commission (the “SEC”), within 90 days following the Filing Date) and to keep such registration statement effective until the date the Shares and Pre-Funded Warrant Shares covered by such registration statement have been sold or may be resold without volume or manner-of-sale restrictions and without current public information requirements pursuant to Rule 144. In the event that such registration statement is not filed or declared effective within the time frames set forth in the Registration Rights Agreement, such effective registration statement subsequently becomes unavailable, or use of the prospectus contained in such registration statement is suspended for certain periods of time, the Company will be required to pay certain liquidated damages to the Purchasers. The Company has agreed to be responsible for all fees and expenses incurred in connection with the registration of the Shares and Pre-Funded Warrant Shares.</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 Registration Rights Agreement contains covenants and other provisions customary for transactions of this nature. Pursuant to the Registration Rights Agreement, the Company and the Purchasers have each also granted customary indemnification rights to the other in connection with the registration statement.</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 foregoing descriptions of the Purchase Agreement, Pre-Funded Warrants and Registration Rights Agreement do not purport to be complete and are qualified in their entirety by reference to the Form of Purchase Agreement, Form of Pre-Funded Warrant and Form of Registration Rights Agreement, copies of which are filed as Exhibit 10.1, Exhibit 4.1 and Exhibit 10.2 hereto, respectively, and are incorporated by reference herein.</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 representations, warranties and covenants contained in the Purchase Agreement, Pre-Funded Warrants and the Registration Rights Agreement were made solely for the benefit of the parties thereto and the placement agent expressly named as a third-party beneficiary thereto and may be subject to limitations agreed upon by the contracting parties. Accordingly, the Purchase Agreement, Pre-Funded Warrants and the Registration Rights Agreement are incorporated herein by reference only to provide investors with information regarding the terms thereof and not to provide investors with any other factual information regarding the Company or its business, and should be read in conjunction with the disclosures in the Company’s periodic reports and other filings with the Securities and Exchange Commission.</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34" w:lineRule="auto"/>
        <w:ind w:left="0" w:right="0" w:firstLine="0"/>
        <w:jc w:val="left"/>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 xml:space="preserve"> </w:t>
      </w:r>
      <w:r>
        <w:rPr>
          <w:rFonts w:ascii="Times New Roman" w:eastAsia="Times New Roman" w:hAnsi="Times New Roman" w:cs="Times New Roman"/>
          <w:b/>
          <w:i w:val="0"/>
          <w:sz w:val="20"/>
        </w:rPr>
        <w:t>ITEM</w:t>
      </w:r>
      <w:r>
        <w:rPr>
          <w:rFonts w:ascii="Times New Roman" w:eastAsia="Times New Roman" w:hAnsi="Times New Roman" w:cs="Times New Roman"/>
          <w:b/>
          <w:i w:val="0"/>
          <w:sz w:val="20"/>
        </w:rPr>
        <w:t xml:space="preserve"> 3.02</w:t>
      </w:r>
      <w:r>
        <w:rPr>
          <w:rFonts w:ascii="Times New Roman" w:eastAsia="Times New Roman" w:hAnsi="Times New Roman" w:cs="Times New Roman"/>
          <w:b/>
          <w:i w:val="0"/>
          <w:sz w:val="20"/>
        </w:rPr>
        <w:t xml:space="preserve"> UNREGISTERED SALE OF SECURITIES</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w:t>
      </w:r>
      <w:r>
        <w:rPr>
          <w:rFonts w:ascii="Times New Roman" w:eastAsia="Times New Roman" w:hAnsi="Times New Roman" w:cs="Times New Roman"/>
          <w:b w:val="0"/>
          <w:i w:val="0"/>
          <w:sz w:val="20"/>
        </w:rPr>
        <w:t xml:space="preserve"> information contained above in Item 1.01 relating to the private placement is hereby incorporated by reference into this Item 3.02. Based in part upon the representations of the Purchasers in the Purchase Agreement, the securities described above were offered and sold in a private placement under Section 4(a)(2) of the Securities Act of 1933, as amended (the “Securities Act”), and Rule 506 of Regulation D promulgated thereunder, and have not been registered under the Securities Act, or applicable state securities laws. Accordingly, such securities may not be offered or sold in the United States except pursuant to an effective registration statement or an applicable exemption from the registration requirements of the Securities Act and such applicable state securities laws.</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34" w:lineRule="auto"/>
        <w:ind w:left="0" w:right="0" w:firstLine="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i w:val="0"/>
          <w:sz w:val="20"/>
        </w:rPr>
        <w:t>ITEM 7.01</w:t>
      </w:r>
      <w:r>
        <w:rPr>
          <w:rFonts w:ascii="Times New Roman" w:eastAsia="Times New Roman" w:hAnsi="Times New Roman" w:cs="Times New Roman"/>
          <w:b/>
          <w:i w:val="0"/>
          <w:sz w:val="20"/>
        </w:rPr>
        <w:t xml:space="preserve"> REGULATION FD DISCLOSUR</w:t>
      </w:r>
      <w:r>
        <w:rPr>
          <w:rFonts w:ascii="Times New Roman" w:eastAsia="Times New Roman" w:hAnsi="Times New Roman" w:cs="Times New Roman"/>
          <w:b/>
          <w:i w:val="0"/>
          <w:sz w:val="20"/>
        </w:rPr>
        <w:t>E</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7"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On October 2, 2026, the Company issued a press release announcing the Private Placement. A copy of the press release is furnished hereto as Exhibit 99.1.</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Pursuant to the rules and regulations of the U.S. Securities and Exchange Commission, the information furnished pursuant to this Item 7.01 of this Current Report (including Exhibit 99.1) is deemed to have been furnished and shall not be deemed “filed” for the purposes of Section 18 of the Securities Exchange Act of 1934, as amended, or otherwise subject to the liabilities of that section. Such information shall not be incorporated by reference into any other filing of the Company under the Securities Act of 1933, as amended, or the Exchange Act, whether made before or after the date hereof, regardless of any general incorporation language in such filing.</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sectPr>
          <w:headerReference w:type="default" r:id="rId7"/>
          <w:pgSz w:w="12240" w:h="15840"/>
          <w:pgMar w:top="1440" w:right="1440" w:bottom="1440" w:left="1440" w:header="0" w:footer="0" w:gutter="0"/>
          <w:cols w:space="720"/>
        </w:sectPr>
      </w:pPr>
    </w:p>
    <w:p>
      <w:pPr>
        <w:keepNext w:val="0"/>
        <w:keepLines w:val="0"/>
        <w:pageBreakBefore w:val="0"/>
        <w:widowControl/>
        <w:numPr>
          <w:ilvl w:val="0"/>
          <w:numId w:val="0"/>
        </w:numPr>
        <w:spacing w:before="0" w:after="0" w:line="269" w:lineRule="auto"/>
        <w:ind w:left="0" w:right="0" w:firstLine="0"/>
        <w:jc w:val="left"/>
        <w:outlineLvl w:val="1"/>
        <w:rPr>
          <w:rFonts w:ascii="Times New Roman" w:eastAsia="Times New Roman" w:hAnsi="Times New Roman" w:cs="Times New Roman"/>
          <w:b w:val="0"/>
          <w:i w:val="0"/>
          <w:sz w:val="24"/>
        </w:rPr>
      </w:pPr>
      <w:bookmarkStart w:id="1" w:name="Section3"/>
      <w:bookmarkEnd w:id="1"/>
      <w:r>
        <w:rPr>
          <w:rFonts w:ascii="Times New Roman" w:eastAsia="Times New Roman" w:hAnsi="Times New Roman" w:cs="Times New Roman"/>
          <w:b/>
          <w:i w:val="0"/>
          <w:sz w:val="20"/>
        </w:rPr>
        <w:t xml:space="preserve">ITEM 9.01 FINANCIAL STATEMENTS AND EXHIBITS </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269" w:lineRule="auto"/>
        <w:ind w:left="0" w:right="0" w:firstLine="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sz w:val="20"/>
        </w:rPr>
        <w:t>(d) Exhibits.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45"/>
        <w:gridCol w:w="165"/>
        <w:gridCol w:w="9450"/>
      </w:tblGrid>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53" w:type="dxa"/>
            </w:tcMar>
            <w:vAlign w:val="bottom"/>
          </w:tcPr>
          <w:p>
            <w:pPr>
              <w:keepNext/>
              <w:pageBreakBefore w:val="0"/>
              <w:spacing w:before="43" w:line="240" w:lineRule="auto"/>
              <w:jc w:val="center"/>
            </w:pPr>
            <w:r>
              <w:rPr>
                <w:rFonts w:ascii="Times New Roman" w:eastAsia="Times New Roman" w:hAnsi="Times New Roman" w:cs="Times New Roman"/>
                <w:b/>
                <w:i w:val="0"/>
                <w:color w:val="000000"/>
                <w:sz w:val="16"/>
                <w:u w:val="single"/>
              </w:rPr>
              <w:t>Exhibit</w:t>
            </w:r>
          </w:p>
          <w:p>
            <w:pPr>
              <w:spacing w:after="20" w:line="240" w:lineRule="auto"/>
              <w:jc w:val="center"/>
            </w:pPr>
            <w:r>
              <w:rPr>
                <w:rFonts w:ascii="Times New Roman" w:eastAsia="Times New Roman" w:hAnsi="Times New Roman" w:cs="Times New Roman"/>
                <w:b/>
                <w:i w:val="0"/>
                <w:color w:val="000000"/>
                <w:sz w:val="16"/>
                <w:u w:val="single"/>
              </w:rPr>
              <w:t>No.</w:t>
            </w:r>
          </w:p>
        </w:tc>
        <w:tc>
          <w:tcPr>
            <w:tcW w:w="165"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val="0"/>
                <w:i w:val="0"/>
                <w:color w:val="000000"/>
                <w:sz w:val="16"/>
                <w:u w:val="none"/>
              </w:rPr>
              <w:t>  </w:t>
            </w:r>
          </w:p>
        </w:tc>
        <w:tc>
          <w:tcPr>
            <w:tcW w:w="9450"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i w:val="0"/>
                <w:color w:val="000000"/>
                <w:sz w:val="16"/>
                <w:u w:val="single"/>
              </w:rPr>
              <w:t>Description of Exhibit</w:t>
            </w:r>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43" w:after="20" w:line="240" w:lineRule="auto"/>
              <w:jc w:val="center"/>
            </w:pPr>
            <w:r>
              <w:rPr>
                <w:rFonts w:ascii="Times New Roman" w:eastAsia="Times New Roman" w:hAnsi="Times New Roman" w:cs="Times New Roman"/>
                <w:b w:val="0"/>
                <w:i w:val="0"/>
                <w:color w:val="000000"/>
                <w:sz w:val="20"/>
                <w:u w:val="none"/>
              </w:rPr>
              <w:t>4.1</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8" w:history="1">
              <w:r>
                <w:rPr>
                  <w:rFonts w:ascii="Times New Roman" w:eastAsia="Times New Roman" w:hAnsi="Times New Roman" w:cs="Times New Roman"/>
                  <w:b w:val="0"/>
                  <w:i w:val="0"/>
                  <w:color w:val="0000FF"/>
                  <w:sz w:val="20"/>
                  <w:u w:val="single"/>
                  <w:shd w:val="clear" w:color="auto" w:fill="auto"/>
                </w:rPr>
                <w:t>Form of Pre-Funded Warrant</w:t>
              </w:r>
            </w:hyperlink>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43" w:after="20" w:line="240" w:lineRule="auto"/>
              <w:jc w:val="center"/>
            </w:pPr>
            <w:r>
              <w:rPr>
                <w:rFonts w:ascii="Times New Roman" w:eastAsia="Times New Roman" w:hAnsi="Times New Roman" w:cs="Times New Roman"/>
                <w:b w:val="0"/>
                <w:i w:val="0"/>
                <w:color w:val="000000"/>
                <w:sz w:val="20"/>
                <w:u w:val="none"/>
              </w:rPr>
              <w:t>10.1</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9" w:history="1">
              <w:r>
                <w:rPr>
                  <w:rFonts w:ascii="Times New Roman" w:eastAsia="Times New Roman" w:hAnsi="Times New Roman" w:cs="Times New Roman"/>
                  <w:b w:val="0"/>
                  <w:i w:val="0"/>
                  <w:color w:val="0000FF"/>
                  <w:sz w:val="20"/>
                  <w:u w:val="single"/>
                  <w:shd w:val="clear" w:color="auto" w:fill="auto"/>
                </w:rPr>
                <w:t>Form of Securities Purchase Agreement</w:t>
              </w:r>
            </w:hyperlink>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43" w:after="20" w:line="240" w:lineRule="auto"/>
              <w:jc w:val="center"/>
            </w:pPr>
            <w:r>
              <w:rPr>
                <w:rFonts w:ascii="Times New Roman" w:eastAsia="Times New Roman" w:hAnsi="Times New Roman" w:cs="Times New Roman"/>
                <w:b w:val="0"/>
                <w:i w:val="0"/>
                <w:color w:val="000000"/>
                <w:sz w:val="20"/>
                <w:u w:val="none"/>
              </w:rPr>
              <w:t>10.2</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10" w:history="1">
              <w:r>
                <w:rPr>
                  <w:rFonts w:ascii="Times New Roman" w:eastAsia="Times New Roman" w:hAnsi="Times New Roman" w:cs="Times New Roman"/>
                  <w:b w:val="0"/>
                  <w:i w:val="0"/>
                  <w:color w:val="0000FF"/>
                  <w:sz w:val="20"/>
                  <w:u w:val="single"/>
                  <w:shd w:val="clear" w:color="auto" w:fill="auto"/>
                </w:rPr>
                <w:t>Form of Registration Rights Agreement</w:t>
              </w:r>
            </w:hyperlink>
          </w:p>
        </w:tc>
      </w:tr>
      <w:tr>
        <w:tblPrEx>
          <w:tblW w:w="10260" w:type="dxa"/>
          <w:tblInd w:w="0" w:type="dxa"/>
          <w:tblLayout w:type="fixed"/>
        </w:tblPrEx>
        <w:trPr>
          <w:cantSplit/>
          <w:trHeight w:hRule="exact" w:val="315"/>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99.1</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11" w:history="1">
              <w:r>
                <w:rPr>
                  <w:rFonts w:ascii="Times New Roman" w:eastAsia="Times New Roman" w:hAnsi="Times New Roman" w:cs="Times New Roman"/>
                  <w:b w:val="0"/>
                  <w:i w:val="0"/>
                  <w:color w:val="0000FF"/>
                  <w:sz w:val="20"/>
                  <w:u w:val="single"/>
                  <w:shd w:val="clear" w:color="auto" w:fill="auto"/>
                </w:rPr>
                <w:t>Press Release, dated October 2, 2026</w:t>
              </w:r>
            </w:hyperlink>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pageBreakBefore w:val="0"/>
              <w:spacing w:before="43" w:after="20" w:line="240" w:lineRule="auto"/>
              <w:jc w:val="center"/>
            </w:pPr>
            <w:r>
              <w:rPr>
                <w:rFonts w:ascii="Times New Roman" w:eastAsia="Times New Roman" w:hAnsi="Times New Roman" w:cs="Times New Roman"/>
                <w:b w:val="0"/>
                <w:i w:val="0"/>
                <w:color w:val="000000"/>
                <w:sz w:val="20"/>
                <w:u w:val="none"/>
              </w:rPr>
              <w:t>104</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ageBreakBefore w:val="0"/>
              <w:spacing w:before="43" w:after="20" w:line="240" w:lineRule="auto"/>
              <w:jc w:val="left"/>
            </w:pPr>
            <w:r>
              <w:rPr>
                <w:rFonts w:ascii="Times New Roman" w:eastAsia="Times New Roman" w:hAnsi="Times New Roman" w:cs="Times New Roman"/>
                <w:b w:val="0"/>
                <w:i w:val="0"/>
                <w:color w:val="000000"/>
                <w:sz w:val="20"/>
                <w:u w:val="none"/>
              </w:rPr>
              <w:t>Cover Page Interactive Data File (embedded within the Inline XBRL document)</w:t>
            </w:r>
          </w:p>
        </w:tc>
      </w:tr>
    </w:tbl>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sectPr>
          <w:type w:val="continuous"/>
          <w:pgSz w:w="12240" w:h="15840"/>
          <w:pgMar w:top="1440" w:right="1440" w:bottom="1440" w:left="1440" w:header="0" w:footer="0" w:gutter="0"/>
          <w:cols w:space="720"/>
        </w:sectPr>
      </w:pPr>
    </w:p>
    <w:p>
      <w:pPr>
        <w:keepNext w:val="0"/>
        <w:keepLines w:val="0"/>
        <w:pageBreakBefore w:val="0"/>
        <w:widowControl/>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2" w:name="Section4"/>
      <w:bookmarkEnd w:id="2"/>
      <w:r>
        <w:rPr>
          <w:rFonts w:ascii="Times New Roman" w:eastAsia="Times New Roman" w:hAnsi="Times New Roman" w:cs="Times New Roman"/>
          <w:b/>
          <w:i w:val="0"/>
          <w:sz w:val="20"/>
        </w:rPr>
        <w:t>SIGNATURES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00"/>
        <w:gridCol w:w="9660"/>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495"/>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Pursuant to the requirements of the Securities Exchange Act of 1934, the registrant has duly caused this report to be signed on its behalf by the undersigned hereunto duly authorized.</w:t>
            </w:r>
          </w:p>
        </w:tc>
      </w:tr>
      <w:tr>
        <w:tblPrEx>
          <w:tblW w:w="10260" w:type="dxa"/>
          <w:tblLayout w:type="fixed"/>
        </w:tblPrEx>
        <w:trPr>
          <w:cantSplit/>
          <w:trHeight w:hRule="auto" w:val="0"/>
        </w:trPr>
        <w:tc>
          <w:tcPr>
            <w:tcW w:w="60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9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auto" w:val="0"/>
        </w:trPr>
        <w:tc>
          <w:tcPr>
            <w:tcW w:w="60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 xml:space="preserve">Date: </w:t>
            </w:r>
          </w:p>
        </w:tc>
        <w:tc>
          <w:tcPr>
            <w:tcW w:w="966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October 5, 2026</w:t>
            </w:r>
          </w:p>
        </w:tc>
      </w:tr>
    </w:tbl>
    <w:p>
      <w:pPr>
        <w:keepNext w:val="0"/>
        <w:keepLines w:val="0"/>
        <w:pageBreakBefore w:val="0"/>
        <w:widowControl/>
        <w:numPr>
          <w:ilvl w:val="0"/>
          <w:numId w:val="0"/>
        </w:numPr>
        <w:spacing w:before="0" w:after="10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965"/>
        <w:gridCol w:w="945"/>
        <w:gridCol w:w="4350"/>
      </w:tblGrid>
      <w:tr>
        <w:tblPrEx>
          <w:tblW w:w="10260" w:type="dxa"/>
          <w:tblLayout w:type="fixed"/>
        </w:tblPrEx>
        <w:trPr>
          <w:cantSplit/>
          <w:trHeight w:hRule="exact" w:val="25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5295" w:type="dxa"/>
            <w:gridSpan w:val="2"/>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NN, INC.</w:t>
            </w:r>
          </w:p>
        </w:tc>
      </w:tr>
      <w:tr>
        <w:tblPrEx>
          <w:tblW w:w="10260" w:type="dxa"/>
          <w:tblLayout w:type="fixed"/>
        </w:tblPrEx>
        <w:trPr>
          <w:cantSplit/>
          <w:trHeight w:hRule="exact" w:val="300"/>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435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435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Name:</w:t>
            </w:r>
          </w:p>
        </w:tc>
        <w:tc>
          <w:tcPr>
            <w:tcW w:w="4350"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Title:</w:t>
            </w:r>
          </w:p>
        </w:tc>
        <w:tc>
          <w:tcPr>
            <w:tcW w:w="435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Senior Vice President and Chief Financial Officer</w:t>
            </w:r>
          </w:p>
        </w:tc>
      </w:tr>
    </w:tbl>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sectPr>
          <w:pgSz w:w="12240" w:h="15840"/>
          <w:pgMar w:top="1440" w:right="1440" w:bottom="1440" w:left="1440" w:header="0" w:footer="0" w:gutter="0"/>
          <w:cols w:space="720"/>
        </w:sectPr>
      </w:pPr>
    </w:p>
    <w:p>
      <w:pPr>
        <w:jc w:val="right"/>
      </w:pPr>
      <w:r>
        <w:rPr>
          <w:b/>
        </w:rPr>
        <w:t>Exhibit 4.1</w:t>
      </w:r>
    </w:p>
    <w:p/>
    <w:p w:rsidR="00A77B3E">
      <w:pPr>
        <w:pStyle w:val="BodyText-wk"/>
        <w:keepNext w:val="0"/>
        <w:keepLines w:val="0"/>
        <w:pageBreakBefore w:val="0"/>
        <w:widowControl/>
        <w:numPr>
          <w:ilvl w:val="0"/>
          <w:numId w:val="0"/>
        </w:numPr>
        <w:spacing w:before="0" w:after="180" w:line="288" w:lineRule="auto"/>
        <w:ind w:left="0" w:right="0" w:firstLine="0"/>
        <w:jc w:val="both"/>
        <w:outlineLvl w:val="0"/>
        <w:rPr>
          <w:rFonts w:ascii="Aptos" w:eastAsia="Aptos" w:hAnsi="Aptos" w:cs="Aptos"/>
          <w:b w:val="0"/>
          <w:i w:val="0"/>
          <w:color w:val="000000"/>
          <w:sz w:val="24"/>
          <w:u w:val="none"/>
        </w:rPr>
      </w:pPr>
      <w:bookmarkStart w:id="3" w:name="Section1"/>
      <w:bookmarkEnd w:id="3"/>
      <w:r>
        <w:rPr>
          <w:rFonts w:ascii="Times New Roman" w:eastAsia="Times New Roman" w:hAnsi="Times New Roman" w:cs="Times New Roman"/>
          <w:b w:val="0"/>
          <w:i w:val="0"/>
          <w:color w:val="000000"/>
          <w:sz w:val="22"/>
          <w:u w:val="none"/>
        </w:rPr>
        <w:t>NEITHER THIS SECURITY NOR THE SECURITIES FOR WHICH THIS SECURITY IS EXERCISABLE HAVE BEEN REGISTERED WITH THE SECURITIES AND EXCHANGE COMMISSION OR THE SECURITIES COMMISSION OF ANY STATE IN RELIANCE UPON AN EXEMPTION FROM REGISTRATION UNDER THE SECURITIES ACT OF 1933, AS AMENDED (THE “SECURITIES ACT”), AND, ACCORDINGLY, MAY NOT BE OFFERED OR SOLD EXCEPT PURSUANT TO AN EFFECTIVE REGISTRATION STATEMENT UNDER THE SECURITIES ACT OR PURSUANT TO AN AVAILABLE EXEMPTION FROM, OR IN A TRANSACTION NOT SUBJECT TO, THE REGISTRATION REQUIREMENTS OF THE SECURITIES ACT AND IN ACCORDANCE WITH APPLICABLE STATE SECURITIES LAWS. THIS SECURITY AND THE SECURITIES ISSUABLE UPON EXERCISE OF THIS SECURITY MAY BE PLEDGED IN CONNECTION WITH A BONA FIDE MARGIN ACCOUNT OR OTHER LOAN SECURED BY SUCH SECURITIES.</w:t>
      </w:r>
    </w:p>
    <w:p w:rsidR="00A77B3E">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rsidR="00A77B3E">
      <w:pPr>
        <w:pStyle w:val="BodyText-wk"/>
        <w:keepNext w:val="0"/>
        <w:keepLines w:val="0"/>
        <w:pageBreakBefore w:val="0"/>
        <w:widowControl/>
        <w:numPr>
          <w:ilvl w:val="0"/>
          <w:numId w:val="0"/>
        </w:numPr>
        <w:spacing w:before="0" w:after="0" w:line="288" w:lineRule="auto"/>
        <w:ind w:left="0" w:right="0" w:firstLine="0"/>
        <w:jc w:val="center"/>
        <w:outlineLvl w:val="9"/>
        <w:rPr>
          <w:rFonts w:ascii="Aptos" w:eastAsia="Aptos" w:hAnsi="Aptos" w:cs="Aptos"/>
          <w:b w:val="0"/>
          <w:i w:val="0"/>
          <w:color w:val="000000"/>
          <w:sz w:val="24"/>
          <w:u w:val="none"/>
        </w:rPr>
      </w:pPr>
      <w:r>
        <w:rPr>
          <w:rFonts w:ascii="Times New Roman" w:eastAsia="Times New Roman" w:hAnsi="Times New Roman" w:cs="Times New Roman"/>
          <w:b/>
          <w:i w:val="0"/>
          <w:color w:val="000000"/>
          <w:sz w:val="22"/>
          <w:u w:val="none"/>
        </w:rPr>
        <w:t>PRE-FUNDED PURCHASE WARRANT</w:t>
      </w:r>
    </w:p>
    <w:p w:rsidR="00A77B3E">
      <w:pPr>
        <w:pStyle w:val="BodyText-wk"/>
        <w:keepNext w:val="0"/>
        <w:keepLines w:val="0"/>
        <w:pageBreakBefore w:val="0"/>
        <w:widowControl/>
        <w:numPr>
          <w:ilvl w:val="0"/>
          <w:numId w:val="0"/>
        </w:numPr>
        <w:spacing w:before="0" w:after="0" w:line="288" w:lineRule="auto"/>
        <w:ind w:left="0" w:right="0" w:firstLine="0"/>
        <w:jc w:val="center"/>
        <w:outlineLvl w:val="9"/>
        <w:rPr>
          <w:rFonts w:ascii="Aptos" w:eastAsia="Aptos" w:hAnsi="Aptos" w:cs="Aptos"/>
          <w:b w:val="0"/>
          <w:i w:val="0"/>
          <w:color w:val="000000"/>
          <w:sz w:val="24"/>
          <w:u w:val="none"/>
        </w:rPr>
      </w:pPr>
      <w:r>
        <w:rPr>
          <w:rFonts w:ascii="Times New Roman" w:eastAsia="Times New Roman" w:hAnsi="Times New Roman" w:cs="Times New Roman"/>
          <w:b/>
          <w:i w:val="0"/>
          <w:color w:val="000000"/>
          <w:sz w:val="22"/>
          <w:u w:val="none"/>
        </w:rPr>
        <w:t>NN, INC.</w:t>
      </w:r>
    </w:p>
    <w:p w:rsidR="00A77B3E">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120"/>
        <w:gridCol w:w="3120"/>
        <w:gridCol w:w="3120"/>
      </w:tblGrid>
      <w:tr>
        <w:tblPrEx>
          <w:tblW w:w="9360" w:type="dxa"/>
          <w:tblInd w:w="0" w:type="dxa"/>
          <w:tblLayout w:type="fixed"/>
        </w:tblPrEx>
        <w:trPr>
          <w:cantSplit/>
          <w:trHeight w:hRule="auto" w:val="0"/>
        </w:trPr>
        <w:tc>
          <w:tcPr>
            <w:tcW w:w="312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Warrant Shares: [__]</w:t>
            </w:r>
          </w:p>
        </w:tc>
        <w:tc>
          <w:tcPr>
            <w:tcW w:w="312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2"/>
              </w:rPr>
            </w:pPr>
          </w:p>
        </w:tc>
        <w:tc>
          <w:tcPr>
            <w:tcW w:w="312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Initial Exercise Date: October 5, 2026</w:t>
            </w:r>
          </w:p>
        </w:tc>
      </w:tr>
      <w:tr>
        <w:tblPrEx>
          <w:tblW w:w="9360" w:type="dxa"/>
          <w:tblInd w:w="0" w:type="dxa"/>
          <w:tblLayout w:type="fixed"/>
        </w:tblPrEx>
        <w:trPr>
          <w:cantSplit/>
          <w:trHeight w:hRule="auto" w:val="0"/>
        </w:trPr>
        <w:tc>
          <w:tcPr>
            <w:tcW w:w="312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312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2"/>
              </w:rPr>
            </w:pPr>
          </w:p>
        </w:tc>
        <w:tc>
          <w:tcPr>
            <w:tcW w:w="312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312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312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2"/>
              </w:rPr>
            </w:pPr>
          </w:p>
        </w:tc>
        <w:tc>
          <w:tcPr>
            <w:tcW w:w="312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Issue Date: October 5, 2026</w:t>
            </w:r>
          </w:p>
        </w:tc>
      </w:tr>
    </w:tbl>
    <w:p>
      <w:pPr>
        <w:pStyle w:val="BodyText-wk"/>
        <w:keepNext w:val="0"/>
        <w:keepLines w:val="0"/>
        <w:pageBreakBefore w:val="0"/>
        <w:widowControl/>
        <w:numPr>
          <w:ilvl w:val="0"/>
          <w:numId w:val="0"/>
        </w:numPr>
        <w:spacing w:before="20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THIS PRE-FUNDED PURCHASE WARRANT (the “</w:t>
      </w:r>
      <w:r>
        <w:rPr>
          <w:rFonts w:ascii="Times New Roman" w:eastAsia="Times New Roman" w:hAnsi="Times New Roman" w:cs="Times New Roman"/>
          <w:b w:val="0"/>
          <w:i w:val="0"/>
          <w:color w:val="000000"/>
          <w:sz w:val="22"/>
          <w:u w:val="single"/>
        </w:rPr>
        <w:t>Warrant</w:t>
      </w:r>
      <w:r>
        <w:rPr>
          <w:rFonts w:ascii="Times New Roman" w:eastAsia="Times New Roman" w:hAnsi="Times New Roman" w:cs="Times New Roman"/>
          <w:b w:val="0"/>
          <w:i w:val="0"/>
          <w:color w:val="000000"/>
          <w:sz w:val="22"/>
          <w:u w:val="none"/>
        </w:rPr>
        <w:t>”) certifies that, for value received, [_________________] or its assigns (the “</w:t>
      </w:r>
      <w:r>
        <w:rPr>
          <w:rFonts w:ascii="Times New Roman" w:eastAsia="Times New Roman" w:hAnsi="Times New Roman" w:cs="Times New Roman"/>
          <w:b w:val="0"/>
          <w:i w:val="0"/>
          <w:color w:val="000000"/>
          <w:sz w:val="22"/>
          <w:u w:val="single"/>
        </w:rPr>
        <w:t>Holder</w:t>
      </w:r>
      <w:r>
        <w:rPr>
          <w:rFonts w:ascii="Times New Roman" w:eastAsia="Times New Roman" w:hAnsi="Times New Roman" w:cs="Times New Roman"/>
          <w:b w:val="0"/>
          <w:i w:val="0"/>
          <w:color w:val="000000"/>
          <w:sz w:val="22"/>
          <w:u w:val="none"/>
        </w:rPr>
        <w:t>”) is entitled, upon the terms and subject to the limitations on exercise and the conditions hereinafter set forth, at any time on or after [__], 2026 (the “</w:t>
      </w:r>
      <w:r>
        <w:rPr>
          <w:rFonts w:ascii="Times New Roman" w:eastAsia="Times New Roman" w:hAnsi="Times New Roman" w:cs="Times New Roman"/>
          <w:b w:val="0"/>
          <w:i w:val="0"/>
          <w:color w:val="000000"/>
          <w:sz w:val="22"/>
          <w:u w:val="single"/>
        </w:rPr>
        <w:t>Initial Exercise Date</w:t>
      </w:r>
      <w:r>
        <w:rPr>
          <w:rFonts w:ascii="Times New Roman" w:eastAsia="Times New Roman" w:hAnsi="Times New Roman" w:cs="Times New Roman"/>
          <w:b w:val="0"/>
          <w:i w:val="0"/>
          <w:color w:val="000000"/>
          <w:sz w:val="22"/>
          <w:u w:val="none"/>
        </w:rPr>
        <w:t>”) and until this Warrant is exercised in full (the “</w:t>
      </w:r>
      <w:r>
        <w:rPr>
          <w:rFonts w:ascii="Times New Roman" w:eastAsia="Times New Roman" w:hAnsi="Times New Roman" w:cs="Times New Roman"/>
          <w:b w:val="0"/>
          <w:i w:val="0"/>
          <w:color w:val="000000"/>
          <w:sz w:val="22"/>
          <w:u w:val="single"/>
        </w:rPr>
        <w:t>Termination Date</w:t>
      </w:r>
      <w:r>
        <w:rPr>
          <w:rFonts w:ascii="Times New Roman" w:eastAsia="Times New Roman" w:hAnsi="Times New Roman" w:cs="Times New Roman"/>
          <w:b w:val="0"/>
          <w:i w:val="0"/>
          <w:color w:val="000000"/>
          <w:sz w:val="22"/>
          <w:u w:val="none"/>
        </w:rPr>
        <w:t>”), but not thereafter, to subscribe for and purchase from NN, Inc., a Delaware corporation (the “</w:t>
      </w:r>
      <w:r>
        <w:rPr>
          <w:rFonts w:ascii="Times New Roman" w:eastAsia="Times New Roman" w:hAnsi="Times New Roman" w:cs="Times New Roman"/>
          <w:b w:val="0"/>
          <w:i w:val="0"/>
          <w:color w:val="000000"/>
          <w:sz w:val="22"/>
          <w:u w:val="single"/>
        </w:rPr>
        <w:t>Company</w:t>
      </w:r>
      <w:r>
        <w:rPr>
          <w:rFonts w:ascii="Times New Roman" w:eastAsia="Times New Roman" w:hAnsi="Times New Roman" w:cs="Times New Roman"/>
          <w:b w:val="0"/>
          <w:i w:val="0"/>
          <w:color w:val="000000"/>
          <w:sz w:val="22"/>
          <w:u w:val="none"/>
        </w:rPr>
        <w:t>”), up to [__] shares of the Company’s common stock, par value $0.01 per share (the “</w:t>
      </w:r>
      <w:r>
        <w:rPr>
          <w:rFonts w:ascii="Times New Roman" w:eastAsia="Times New Roman" w:hAnsi="Times New Roman" w:cs="Times New Roman"/>
          <w:b w:val="0"/>
          <w:i w:val="0"/>
          <w:color w:val="000000"/>
          <w:sz w:val="22"/>
          <w:u w:val="single"/>
        </w:rPr>
        <w:t>Common Stock</w:t>
      </w:r>
      <w:r>
        <w:rPr>
          <w:rFonts w:ascii="Times New Roman" w:eastAsia="Times New Roman" w:hAnsi="Times New Roman" w:cs="Times New Roman"/>
          <w:b w:val="0"/>
          <w:i w:val="0"/>
          <w:color w:val="000000"/>
          <w:sz w:val="22"/>
          <w:u w:val="none"/>
        </w:rPr>
        <w:t>”) (as subject to adjustment hereunder, the “</w:t>
      </w:r>
      <w:r>
        <w:rPr>
          <w:rFonts w:ascii="Times New Roman" w:eastAsia="Times New Roman" w:hAnsi="Times New Roman" w:cs="Times New Roman"/>
          <w:b w:val="0"/>
          <w:i w:val="0"/>
          <w:color w:val="000000"/>
          <w:sz w:val="22"/>
          <w:u w:val="single"/>
        </w:rPr>
        <w:t>Warrant Shares</w:t>
      </w:r>
      <w:r>
        <w:rPr>
          <w:rFonts w:ascii="Times New Roman" w:eastAsia="Times New Roman" w:hAnsi="Times New Roman" w:cs="Times New Roman"/>
          <w:b w:val="0"/>
          <w:i w:val="0"/>
          <w:color w:val="000000"/>
          <w:sz w:val="22"/>
          <w:u w:val="none"/>
        </w:rPr>
        <w:t>”). This Warrant was issued pursuant to Sections 2.1 and 2.2 of that certain Securities Purchase Agreement, dated as of October 1, 2026, by and between the Company, the Holder and other purchasers signatory thereto (as may be amended, amended and restated, supplemented or otherwise modified from time to time in accordance with its terms, the “</w:t>
      </w:r>
      <w:r>
        <w:rPr>
          <w:rFonts w:ascii="Times New Roman" w:eastAsia="Times New Roman" w:hAnsi="Times New Roman" w:cs="Times New Roman"/>
          <w:b w:val="0"/>
          <w:i w:val="0"/>
          <w:color w:val="000000"/>
          <w:sz w:val="22"/>
          <w:u w:val="single"/>
        </w:rPr>
        <w:t>Purchase Agreement</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single"/>
        </w:rPr>
        <w:t>Section 1</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Definitions</w:t>
      </w:r>
      <w:r>
        <w:rPr>
          <w:rFonts w:ascii="Times New Roman" w:eastAsia="Times New Roman" w:hAnsi="Times New Roman" w:cs="Times New Roman"/>
          <w:b w:val="0"/>
          <w:i w:val="0"/>
          <w:color w:val="000000"/>
          <w:sz w:val="22"/>
          <w:u w:val="none"/>
        </w:rPr>
        <w:t>. Capitalized terms used and not otherwise defined herein shall have the meanings set forth in the Purchase Agreement.</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single"/>
        </w:rPr>
        <w:t>Section 2</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Exercise</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Exercise of Warrant</w:t>
      </w:r>
      <w:r>
        <w:rPr>
          <w:rFonts w:ascii="Times New Roman" w:eastAsia="Times New Roman" w:hAnsi="Times New Roman" w:cs="Times New Roman"/>
          <w:b w:val="0"/>
          <w:i w:val="0"/>
          <w:color w:val="000000"/>
          <w:sz w:val="22"/>
          <w:u w:val="none"/>
        </w:rPr>
        <w:t>. Exercise of the purchase rights represented by this Warrant may be made, in whole or in part, at any time or times on or after the Initial Exercise Date and on or before the Termination Date by delivery to the Company of a duly executed facsimile copy or PDF copy submitted by e-mail (or e-mail attachment) of the Notice of Exercise in the form annexed hereto (the “</w:t>
      </w:r>
      <w:r>
        <w:rPr>
          <w:rFonts w:ascii="Times New Roman" w:eastAsia="Times New Roman" w:hAnsi="Times New Roman" w:cs="Times New Roman"/>
          <w:b w:val="0"/>
          <w:i w:val="0"/>
          <w:color w:val="000000"/>
          <w:sz w:val="22"/>
          <w:u w:val="single"/>
        </w:rPr>
        <w:t>Notice of Exercise</w:t>
      </w:r>
      <w:r>
        <w:rPr>
          <w:rFonts w:ascii="Times New Roman" w:eastAsia="Times New Roman" w:hAnsi="Times New Roman" w:cs="Times New Roman"/>
          <w:b w:val="0"/>
          <w:i w:val="0"/>
          <w:color w:val="000000"/>
          <w:sz w:val="22"/>
          <w:u w:val="none"/>
        </w:rPr>
        <w:t xml:space="preserve">”). Within one (1) Trading Day following the date of exercise as aforesaid, the Holder shall deliver the unpaid portion of the aggregate Exercise Price for the Warrant Shares specified in the applicable Notice of Exercise by wire transfer or cashier’s check drawn on a United States bank unless the cashless exercise procedure specified in Section 2(c) below is specified in the applicable Notice of Exercise. No ink-original Notice of Exercise shall be required, nor shall any medallion guarantee (or other type of guarantee or notarization) of any Notice of Exercise be required. Notwithstanding anything herein to the contrary, the Holder shall not be required to physically surrender this Warrant to the Company until the Holder has purchased all of the Warrant Shares available hereunder and the Warrant has been exercised in full, in which case, the Holder shall surrender this Warrant to the Company for cancellation within three (3) Trading Days of the date on which the final Notice of Exercise is delivered to the Company. Partial exercises of this Warrant resulting in purchases of a portion of the total number of Warrant Shares available hereunder shall have the effect of lowering the outstanding number of Warrant Shares purchasable hereunder in an amount equal to the applicable number of Warrant Shares purchased. The Holder and the Company shall maintain records showing the number of Warrant Shares purchased and the date of such purchases. The Company shall deliver any objection to any Notice of Exercise within one (1) Business Day of receipt of such notice. </w:t>
      </w:r>
      <w:r>
        <w:rPr>
          <w:rFonts w:ascii="Times New Roman" w:eastAsia="Times New Roman" w:hAnsi="Times New Roman" w:cs="Times New Roman"/>
          <w:b/>
          <w:i w:val="0"/>
          <w:color w:val="000000"/>
          <w:sz w:val="22"/>
          <w:u w:val="none"/>
        </w:rPr>
        <w:t>The Holder and any assignee, by acceptance of this Warrant, acknowledge and agree that, by reason of the provisions of this paragraph, following the purchase of a portion of the Warrant Shares hereunder, the number of Warrant Shares available for purchase hereunder at any given time may be less than the amount stated on the face hereof.</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Business Day</w:t>
      </w:r>
      <w:r>
        <w:rPr>
          <w:rFonts w:ascii="Times New Roman" w:eastAsia="Times New Roman" w:hAnsi="Times New Roman" w:cs="Times New Roman"/>
          <w:b w:val="0"/>
          <w:i w:val="0"/>
          <w:color w:val="000000"/>
          <w:sz w:val="22"/>
          <w:u w:val="none"/>
        </w:rPr>
        <w:t xml:space="preserve">” means any day other than Saturday, Sunday or other day on which commercial banks in The City of New York are authorized or required by law to remain closed;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color w:val="000000"/>
          <w:sz w:val="22"/>
          <w:u w:val="none"/>
        </w:rPr>
        <w:t>, for clarification, commercial banks shall not be deemed to be authorized or required by law to remain closed due to “stay at home”, “shelter-in-place”, “non-essential employee” or any other similar orders or restrictions or the closure of any physical branch locations at the direction of any governmental authority so long as the electronic funds transfer systems (including for wire transfers) of commercial banks in The City of New York generally are open for use by customers on such day.</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Exercise Price</w:t>
      </w:r>
      <w:r>
        <w:rPr>
          <w:rFonts w:ascii="Times New Roman" w:eastAsia="Times New Roman" w:hAnsi="Times New Roman" w:cs="Times New Roman"/>
          <w:b w:val="0"/>
          <w:i w:val="0"/>
          <w:color w:val="000000"/>
          <w:sz w:val="22"/>
          <w:u w:val="none"/>
        </w:rPr>
        <w:t>. The aggregate exercise price of this Warrant, except for a nominal exercise price of $0.01 per Warrant Share, was pre-funded to the Company on or prior to the Initial Exercise Date and, consequently, no additional consideration (other than the nominal exercise price of $0.01 per Warrant Share) shall be required to be paid by the Holder to any Person to effect any exercise of this Warrant. The remaining unpaid exercise price per share of Common Stock under this Warrant shall be $0.01, subject to adjustment hereunder (the “</w:t>
      </w:r>
      <w:r>
        <w:rPr>
          <w:rFonts w:ascii="Times New Roman" w:eastAsia="Times New Roman" w:hAnsi="Times New Roman" w:cs="Times New Roman"/>
          <w:b w:val="0"/>
          <w:i w:val="0"/>
          <w:color w:val="000000"/>
          <w:sz w:val="22"/>
          <w:u w:val="single"/>
        </w:rPr>
        <w:t>Exercise Price</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Cashless Exercise</w:t>
      </w:r>
      <w:r>
        <w:rPr>
          <w:rFonts w:ascii="Times New Roman" w:eastAsia="Times New Roman" w:hAnsi="Times New Roman" w:cs="Times New Roman"/>
          <w:b w:val="0"/>
          <w:i w:val="0"/>
          <w:color w:val="000000"/>
          <w:sz w:val="22"/>
          <w:u w:val="none"/>
        </w:rPr>
        <w:t>. This Warrant may also be exercised, in whole or in part, at such time by means of a “cashless exercise” in which the Holder shall be entitled to receive a number of Warrant Shares determined according to the following formula:</w:t>
      </w:r>
    </w:p>
    <w:p>
      <w:pPr>
        <w:pStyle w:val="BodyText-wk"/>
        <w:keepNext w:val="0"/>
        <w:keepLines w:val="0"/>
        <w:pageBreakBefore w:val="0"/>
        <w:widowControl/>
        <w:numPr>
          <w:ilvl w:val="0"/>
          <w:numId w:val="0"/>
        </w:numPr>
        <w:spacing w:before="0" w:after="0" w:line="288" w:lineRule="auto"/>
        <w:ind w:left="72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xml:space="preserve">Net Number = </w:t>
      </w:r>
      <w:r>
        <w:rPr>
          <w:rFonts w:ascii="Times New Roman" w:eastAsia="Times New Roman" w:hAnsi="Times New Roman" w:cs="Times New Roman"/>
          <w:b w:val="0"/>
          <w:i w:val="0"/>
          <w:color w:val="000000"/>
          <w:sz w:val="22"/>
          <w:u w:val="single"/>
        </w:rPr>
        <w:t>(A x B) - (A x C)</w:t>
      </w:r>
    </w:p>
    <w:p>
      <w:pPr>
        <w:pStyle w:val="BodyText-wk"/>
        <w:keepNext w:val="0"/>
        <w:keepLines w:val="0"/>
        <w:pageBreakBefore w:val="0"/>
        <w:widowControl/>
        <w:numPr>
          <w:ilvl w:val="0"/>
          <w:numId w:val="0"/>
        </w:numPr>
        <w:spacing w:before="0" w:after="0" w:line="288" w:lineRule="auto"/>
        <w:ind w:left="288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xml:space="preserve">          B</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For purposes of the foregoing formula:</w:t>
      </w:r>
    </w:p>
    <w:p>
      <w:pPr>
        <w:pStyle w:val="BodyText-wk"/>
        <w:keepNext w:val="0"/>
        <w:keepLines w:val="0"/>
        <w:pageBreakBefore w:val="0"/>
        <w:widowControl/>
        <w:numPr>
          <w:ilvl w:val="0"/>
          <w:numId w:val="0"/>
        </w:numPr>
        <w:spacing w:before="180" w:after="180" w:line="288" w:lineRule="auto"/>
        <w:ind w:left="72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(A) = the total number of Warrant Shares with respect to which this Warrant is then being exercised if such exercise were by means of a cash exercise rather than a cashless exercise.</w:t>
      </w:r>
    </w:p>
    <w:p>
      <w:pPr>
        <w:pStyle w:val="BodyText-wk"/>
        <w:keepNext w:val="0"/>
        <w:keepLines w:val="0"/>
        <w:pageBreakBefore w:val="0"/>
        <w:widowControl/>
        <w:numPr>
          <w:ilvl w:val="0"/>
          <w:numId w:val="0"/>
        </w:numPr>
        <w:spacing w:before="180" w:after="180" w:line="288" w:lineRule="auto"/>
        <w:ind w:left="72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(B) = as applicable: (i) the VWAP on the Trading Day immediately preceding the date of the applicable Notice of Exercise if such Notice of Exercise is  delivered pursuant to Section 2(a) hereof on a day that is not a Trading Day or on a Trading Day prior to the close of “regular trading hours” (as defined in Rule 600(b) of Regulation NMS promulgated under the federal securities laws) on such Trading Day or (ii) the VWAP on the date of the applicable Notice of Exercise if such Notice of Exercise is delivered pursuant to Section 2(a) hereof after the close of “regular trading hours” on such Trading Day; and</w:t>
      </w:r>
    </w:p>
    <w:p>
      <w:pPr>
        <w:pStyle w:val="BodyText-wk"/>
        <w:keepNext w:val="0"/>
        <w:keepLines w:val="0"/>
        <w:pageBreakBefore w:val="0"/>
        <w:widowControl/>
        <w:numPr>
          <w:ilvl w:val="0"/>
          <w:numId w:val="0"/>
        </w:numPr>
        <w:spacing w:before="180" w:after="180" w:line="288" w:lineRule="auto"/>
        <w:ind w:left="72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(C) = the Exercise Price then in effect for the applicable Warrant Shares at the time of such exercise.</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If Warrant Shares are issued in such a cashless exercise, the parties hereto acknowledge and agree that in accordance with Section 3(a)(9) of the Securities Act, the Warrant Shares shall take on the characteristics of the Warrants being exercised, and for purposes of Rule 144 of the Securities Act, the holding period of the Warrant Shares being issued may be tacked on to the holding period of this Warrant. The Company agrees not to take any position contrary to this Section 2(c). Notwithstanding anything to the contrary, without limiting the rights of the Holder to receive cash payments pursuant to Section 2(d)(i) and Section 2(d)(iv) herein and the right of the Holder to exercise this Warrant on a “cashless exercise” pursuant to this Section 2(c), there are no circumstances that would require the Company to make any cash payments or net cash settle the purchase warrants to the holders.</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r>
        <w:rPr>
          <w:rFonts w:ascii="Times New Roman" w:eastAsia="Times New Roman" w:hAnsi="Times New Roman" w:cs="Times New Roman"/>
          <w:b w:val="0"/>
          <w:i w:val="0"/>
          <w:color w:val="000000"/>
          <w:sz w:val="22"/>
          <w:u w:val="single"/>
        </w:rPr>
        <w:t>Exchange Act</w:t>
      </w:r>
      <w:r>
        <w:rPr>
          <w:rFonts w:ascii="Times New Roman" w:eastAsia="Times New Roman" w:hAnsi="Times New Roman" w:cs="Times New Roman"/>
          <w:b w:val="0"/>
          <w:i w:val="0"/>
          <w:color w:val="000000"/>
          <w:sz w:val="22"/>
          <w:u w:val="none"/>
        </w:rPr>
        <w:t>” means the Securities Exchange Act of 1934, as amended, and the rules and regulations promulgated thereunder.</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r>
        <w:rPr>
          <w:rFonts w:ascii="Times New Roman" w:eastAsia="Times New Roman" w:hAnsi="Times New Roman" w:cs="Times New Roman"/>
          <w:b w:val="0"/>
          <w:i w:val="0"/>
          <w:color w:val="000000"/>
          <w:sz w:val="22"/>
          <w:u w:val="single"/>
        </w:rPr>
        <w:t>Marketable Securities</w:t>
      </w:r>
      <w:r>
        <w:rPr>
          <w:rFonts w:ascii="Times New Roman" w:eastAsia="Times New Roman" w:hAnsi="Times New Roman" w:cs="Times New Roman"/>
          <w:b w:val="0"/>
          <w:i w:val="0"/>
          <w:color w:val="000000"/>
          <w:sz w:val="22"/>
          <w:u w:val="none"/>
        </w:rPr>
        <w:t>” means securities meeting all of the following requirements: (i) the issuer thereof is then subject to the reporting requirements of Section 13 or Section 15(d) of the Exchange Act, and is then current in its filing of all required reports and other information under the Securities Act and the Exchange Act; (ii) the class and series of shares or other security of the issuer that would be received by Holder in connection with the Fundamental Transaction (as defined below) were Holder to exercise this Warrant on or prior to the closing thereof is then traded or quoted on a nationally recognized securities exchange, the OTCQB Market or the OTCQX Market, and (iii) following the closing of such Fundamental Transaction, the Holder would not be restricted from publicly re-selling all of such securities that would be received by the Holder in such Fundamental Transaction were the Holder to exercise or convert this Warrant in full on or prior to the closing of such Fundamental Transaction on a “cashless basis” pursuant to Section 2(c).</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r>
        <w:rPr>
          <w:rFonts w:ascii="Times New Roman" w:eastAsia="Times New Roman" w:hAnsi="Times New Roman" w:cs="Times New Roman"/>
          <w:b w:val="0"/>
          <w:i w:val="0"/>
          <w:color w:val="000000"/>
          <w:sz w:val="22"/>
          <w:u w:val="single"/>
        </w:rPr>
        <w:t>Trading Day</w:t>
      </w:r>
      <w:r>
        <w:rPr>
          <w:rFonts w:ascii="Times New Roman" w:eastAsia="Times New Roman" w:hAnsi="Times New Roman" w:cs="Times New Roman"/>
          <w:b w:val="0"/>
          <w:i w:val="0"/>
          <w:color w:val="000000"/>
          <w:sz w:val="22"/>
          <w:u w:val="none"/>
        </w:rPr>
        <w:t>” means a day on which the principal Trading Market is open for trading.</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r>
        <w:rPr>
          <w:rFonts w:ascii="Times New Roman" w:eastAsia="Times New Roman" w:hAnsi="Times New Roman" w:cs="Times New Roman"/>
          <w:b w:val="0"/>
          <w:i w:val="0"/>
          <w:color w:val="000000"/>
          <w:sz w:val="22"/>
          <w:u w:val="single"/>
        </w:rPr>
        <w:t>Trading Market</w:t>
      </w:r>
      <w:r>
        <w:rPr>
          <w:rFonts w:ascii="Times New Roman" w:eastAsia="Times New Roman" w:hAnsi="Times New Roman" w:cs="Times New Roman"/>
          <w:b w:val="0"/>
          <w:i w:val="0"/>
          <w:color w:val="000000"/>
          <w:sz w:val="22"/>
          <w:u w:val="none"/>
        </w:rPr>
        <w:t>” means any of the following markets or exchanges on which the shares of Common Stock are listed or quoted for trading on the date in question: the NYSE American, the Nasdaq Capital Market, the Nasdaq Global Market, the Nasdaq Global Select Market or the New York Stock Exchange (or any successors to any of the foregoing).</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r>
        <w:rPr>
          <w:rFonts w:ascii="Times New Roman" w:eastAsia="Times New Roman" w:hAnsi="Times New Roman" w:cs="Times New Roman"/>
          <w:b w:val="0"/>
          <w:i w:val="0"/>
          <w:color w:val="000000"/>
          <w:sz w:val="22"/>
          <w:u w:val="single"/>
        </w:rPr>
        <w:t>VWAP</w:t>
      </w:r>
      <w:r>
        <w:rPr>
          <w:rFonts w:ascii="Times New Roman" w:eastAsia="Times New Roman" w:hAnsi="Times New Roman" w:cs="Times New Roman"/>
          <w:b w:val="0"/>
          <w:i w:val="0"/>
          <w:color w:val="000000"/>
          <w:sz w:val="22"/>
          <w:u w:val="none"/>
        </w:rPr>
        <w:t>” means, for any date, the price determined by the first of the following clauses that applies: (a) if the shares of Common Stock are then listed or quoted on a Trading Market, the daily volume weighted average price of the shares of Common Stock for such date (or if such date is not a Trading Day, the nearest preceding Trading Day) on the Trading Market on which the shares of Common Stock are then listed or quoted as reported by Bloomberg L.P. (based on a Trading Day from 9:30 a.m. (New York City time) to 4:02 p.m. (New York City time)), (b) if the shares of Common Stock are not then listed or quoted for trading on a Trading Market but prices for the shares of Common Stock are then reported on the Pink Open Market (or a similar organization or agency succeeding to its functions of reporting prices), the most recent bid price per share of the Common Stock reported at 4:02 p.m. (New York City time) on such date (or if such date is not a Trading Day, the nearest preceding Trading Day), or (c) in all other cases, the fair market value of a share of Common Stock as determined by an independent appraiser selected in good faith by the Holder and reasonably acceptable to the Company, the fees and expenses of which shall be paid by the Company.</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Mechanics of Exercise</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1"/>
          <w:numId w:val="5"/>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Delivery of Warrant Shares Upon Exercise</w:t>
      </w:r>
      <w:r>
        <w:rPr>
          <w:rFonts w:ascii="Times New Roman" w:eastAsia="Times New Roman" w:hAnsi="Times New Roman" w:cs="Times New Roman"/>
          <w:b w:val="0"/>
          <w:i w:val="0"/>
          <w:color w:val="000000"/>
          <w:sz w:val="22"/>
          <w:u w:val="none"/>
        </w:rPr>
        <w:t>. The Company shall cause the Warrant Shares purchased hereunder to be transmitted by Computershare Trust Company, N.A., or the then current transfer agent of the Company (the “</w:t>
      </w:r>
      <w:r>
        <w:rPr>
          <w:rFonts w:ascii="Times New Roman" w:eastAsia="Times New Roman" w:hAnsi="Times New Roman" w:cs="Times New Roman"/>
          <w:b w:val="0"/>
          <w:i w:val="0"/>
          <w:color w:val="000000"/>
          <w:sz w:val="22"/>
          <w:u w:val="single"/>
        </w:rPr>
        <w:t>Transfer Agent</w:t>
      </w:r>
      <w:r>
        <w:rPr>
          <w:rFonts w:ascii="Times New Roman" w:eastAsia="Times New Roman" w:hAnsi="Times New Roman" w:cs="Times New Roman"/>
          <w:b w:val="0"/>
          <w:i w:val="0"/>
          <w:color w:val="000000"/>
          <w:sz w:val="22"/>
          <w:u w:val="none"/>
        </w:rPr>
        <w:t>”) to the Holder by crediting the account of the Holder’s or its designee’s balance account with The Depository Trust Company through its Deposit or Withdrawal at Custodian system (“</w:t>
      </w:r>
      <w:r>
        <w:rPr>
          <w:rFonts w:ascii="Times New Roman" w:eastAsia="Times New Roman" w:hAnsi="Times New Roman" w:cs="Times New Roman"/>
          <w:b w:val="0"/>
          <w:i w:val="0"/>
          <w:color w:val="000000"/>
          <w:sz w:val="22"/>
          <w:u w:val="single"/>
        </w:rPr>
        <w:t>DWAC</w:t>
      </w:r>
      <w:r>
        <w:rPr>
          <w:rFonts w:ascii="Times New Roman" w:eastAsia="Times New Roman" w:hAnsi="Times New Roman" w:cs="Times New Roman"/>
          <w:b w:val="0"/>
          <w:i w:val="0"/>
          <w:color w:val="000000"/>
          <w:sz w:val="22"/>
          <w:u w:val="none"/>
        </w:rPr>
        <w:t>”) if the Company is then a participant in such system and either (A) there is an effective registration statement covering the resale of the Warrant Shares by the Holder or (B) this Warrant is exercised on a cashless basis pursuant to Section 2(c) and the Warrant Shares are eligible for resale by the Holder without volume or manner-of-sale limitations or any current public information requirement pursuant to Rule 144 and subject to receipt from the Holder by the Company and the Transfer Agent of customary representations and other documentation reasonably acceptable to the Company and the Transfer Agent in connection with such request, and otherwise by book-entry through the Transfer Agent (as set forth in an account statement reflecting shares of Common Stock) reflected in the Company’s share register in the name of the Holder or its designee, for the number of Warrant Shares to which the Holder is entitled pursuant to such exercise to the address specified by the Holder in the Notice of Exercise by the date that is two (2) Trading Days after the delivery to the Company of the Notice of Exercise, provided that payment of the aggregate Exercise Price (other than in the instance of a cashless exercise) is received by the Company by such date (and if the Exercise Price is not received by such date, by the date that is two (2) Trading Days after the receipt thereof) (such date, the “</w:t>
      </w:r>
      <w:r>
        <w:rPr>
          <w:rFonts w:ascii="Times New Roman" w:eastAsia="Times New Roman" w:hAnsi="Times New Roman" w:cs="Times New Roman"/>
          <w:b w:val="0"/>
          <w:i w:val="0"/>
          <w:color w:val="000000"/>
          <w:sz w:val="22"/>
          <w:u w:val="single"/>
        </w:rPr>
        <w:t>Warrant Share Delivery Date</w:t>
      </w:r>
      <w:r>
        <w:rPr>
          <w:rFonts w:ascii="Times New Roman" w:eastAsia="Times New Roman" w:hAnsi="Times New Roman" w:cs="Times New Roman"/>
          <w:b w:val="0"/>
          <w:i w:val="0"/>
          <w:color w:val="000000"/>
          <w:sz w:val="22"/>
          <w:u w:val="none"/>
        </w:rPr>
        <w:t xml:space="preserve">”). Upon delivery of the Notice of Exercise, the Holder shall, to the fullest extent permitted by law, be deemed for all corporate purposes to have become the holder of the Warrant Shares with respect to which this Warrant has been exercised, irrespective of the date of delivery of the Warrant Shares, provided that payment of the aggregate Exercise Price (other than in the case of a cashless exercise) is received within two (2) Trading Days following delivery of the Notice of Exercise. If the Company fails for any reason (other than a failure by the Transfer Agent to deliver the Shares following a timely delivered instruction by the Company) to cause the Transfer Agent to transmit to the Holder the Warrant Shares in accordance with the provisions of this Section 2(d)(i) pursuant to an exercise by the Warrant Share Delivery Date (other than a failure caused by incorrect or incomplete information provided by the Holder to the Company), provided that payment of the aggregate Exercise Price (other than in the instance of a cashless exercise) is received by the Company on or prior to the Warrant Share Delivery Date, the Company shall pay to the Holder, in cash, as liquidated damages and not as a penalty, for each $1,000 of such Warrant Shares subject to such exercise (based on the VWAP of the shares of Common Stock on the date of the applicable Notice of Exercise), $5 per Trading Day (increasing to $10 per Trading Day on the fifth Trading Day after such liquidated damages begin to accrue) for each Trading Day after such Warrant Share Delivery Date until such Warrant Shares are delivered or Holder rescinds such exercise; provided that the aggregate liquidated damages payable hereunder shall not exceed the aggregate value (based on the VWAP referenced above) of the Warrant Shares. The Company agrees to maintain a transfer agent that is a participant in the FAST program so long as this Warrant remains outstanding and exercisable. </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Delivery of New Warrants Upon Exercise</w:t>
      </w:r>
      <w:r>
        <w:rPr>
          <w:rFonts w:ascii="Times New Roman" w:eastAsia="Times New Roman" w:hAnsi="Times New Roman" w:cs="Times New Roman"/>
          <w:b w:val="0"/>
          <w:i w:val="0"/>
          <w:color w:val="000000"/>
          <w:sz w:val="22"/>
          <w:u w:val="none"/>
        </w:rPr>
        <w:t>. If this Warrant shall have been exercised in part, the Company shall, at the request of a Holder and upon surrender of this Warrant certificate, at the time of delivery of the Warrant Shares, deliver to the Holder a new Warrant evidencing the rights of the Holder to purchase the unpurchased Warrant Shares called for by this Warrant, which new Warrant shall in all other respects be identical with this Warrant. </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Rescission Rights</w:t>
      </w:r>
      <w:r>
        <w:rPr>
          <w:rFonts w:ascii="Times New Roman" w:eastAsia="Times New Roman" w:hAnsi="Times New Roman" w:cs="Times New Roman"/>
          <w:b w:val="0"/>
          <w:i w:val="0"/>
          <w:color w:val="000000"/>
          <w:sz w:val="22"/>
          <w:u w:val="none"/>
        </w:rPr>
        <w:t>. If the Company fails to cause the Transfer Agent to transmit to the Holder the Warrant Shares pursuant to Section 2(d)(i) by the Warrant Share Delivery Date, then the Holder will have the right to rescind such exercise.</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Compensation for Buy-In on Failure to Timely Deliver Warrant Shares Upon Exercise</w:t>
      </w:r>
      <w:r>
        <w:rPr>
          <w:rFonts w:ascii="Times New Roman" w:eastAsia="Times New Roman" w:hAnsi="Times New Roman" w:cs="Times New Roman"/>
          <w:b w:val="0"/>
          <w:i w:val="0"/>
          <w:color w:val="000000"/>
          <w:sz w:val="22"/>
          <w:u w:val="none"/>
        </w:rPr>
        <w:t>. In addition to any other rights available to the Holder, if the Company fails to cause the Transfer Agent to transmit to the Holder the Warrant Shares in accordance with the provisions of Section 2(d)(i) above pursuant to an exercise by the Warrant Share Delivery Date (other than a failure caused by incorrect or incomplete information provided by the Holder to the Company), and if after such date the Holder is required by its broker to purchase (in an open market transaction or otherwise) or the Holder’s brokerage firm otherwise purchases, shares of Common Stock to deliver in satisfaction of a sale by the Holder of the Warrant Shares which the Holder anticipated receiving upon such exercise (a “</w:t>
      </w:r>
      <w:r>
        <w:rPr>
          <w:rFonts w:ascii="Times New Roman" w:eastAsia="Times New Roman" w:hAnsi="Times New Roman" w:cs="Times New Roman"/>
          <w:b w:val="0"/>
          <w:i w:val="0"/>
          <w:color w:val="000000"/>
          <w:sz w:val="22"/>
          <w:u w:val="single"/>
        </w:rPr>
        <w:t>Buy-In</w:t>
      </w:r>
      <w:r>
        <w:rPr>
          <w:rFonts w:ascii="Times New Roman" w:eastAsia="Times New Roman" w:hAnsi="Times New Roman" w:cs="Times New Roman"/>
          <w:b w:val="0"/>
          <w:i w:val="0"/>
          <w:color w:val="000000"/>
          <w:sz w:val="22"/>
          <w:u w:val="none"/>
        </w:rPr>
        <w:t>”), then the Company shall (A) pay in cash to the Holder the amount, if any, by which (x) the Holder’s total purchase price (including brokerage commissions, if any) for the shares of Common Stock so purchased exceeds (y) the amount obtained by multiplying (1) the number of Warrant Shares that the Company was required to deliver to the Holder in connection with the exercise at issue times (2) the price at which the sell order giving rise to such purchase obligation was executed, and (B) at the option of the Holder, either reinstate the portion of the Warrant and equivalent number of Warrant Shares for which such exercise was not honored (in which case such exercise shall be deemed rescinded) or deliver to the Holder the number of shares of Common Stock that would have been issued had the Company timely complied with its exercise and delivery obligations hereunder. For example, if the Holder purchases shares of Common Stock having a total purchase price of $11,000 to cover a Buy-In with respect to an attempted exercise of shares of Common Stock with an aggregate sale price giving rise to such purchase obligation of $10,000, under clause (A) of the immediately preceding sentence the Company shall be required to pay the Holder $1,000. The Holder shall provide the Company written notice indicating the amounts payable to the Holder in respect of the Buy-In and, upon request of the Company, evidence of the amount of such loss. Nothing herein shall limit a Holder’s right to pursue any other remedies available to it hereunder, at law or in equity including, without limitation, a decree of specific performance and/or injunctive relief with respect to the Company’s failure to timely deliver shares of Common Stock upon exercise of the Warrant as required pursuant to the terms hereof.</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No Fractional Shares or Scrip</w:t>
      </w:r>
      <w:r>
        <w:rPr>
          <w:rFonts w:ascii="Times New Roman" w:eastAsia="Times New Roman" w:hAnsi="Times New Roman" w:cs="Times New Roman"/>
          <w:b w:val="0"/>
          <w:i w:val="0"/>
          <w:color w:val="000000"/>
          <w:sz w:val="22"/>
          <w:u w:val="none"/>
        </w:rPr>
        <w:t>. No fractional shares or scrip representing fractional shares shall be issued upon the exercise of this Warrant. As to any fraction of a share which the Holder would otherwise be entitled to purchase upon such exercise, the Company shall, at its election, either pay a cash adjustment in respect of such final fraction in an amount equal to such fraction multiplied by the Exercise Price or round up to the next whole share.</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Charges, Taxes and Expenses</w:t>
      </w:r>
      <w:r>
        <w:rPr>
          <w:rFonts w:ascii="Times New Roman" w:eastAsia="Times New Roman" w:hAnsi="Times New Roman" w:cs="Times New Roman"/>
          <w:b w:val="0"/>
          <w:i w:val="0"/>
          <w:color w:val="000000"/>
          <w:sz w:val="22"/>
          <w:u w:val="none"/>
        </w:rPr>
        <w:t xml:space="preserve">. Issuance of Warrant Shares shall be made without charge to the Holder for any issue or transfer tax or other incidental expense in respect of the issuance of such Warrant Shares to the Holder, all of which taxes and expenses shall be paid by the Company, and such Warrant Shares shall be issued in the name of the Holder or in such name or names as may be directed by the Holder;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color w:val="000000"/>
          <w:sz w:val="22"/>
          <w:u w:val="none"/>
        </w:rPr>
        <w:t>, that, in the event that Warrant Shares are to be issued in a name other than the name of the Holder, this Warrant when surrendered for exercise shall be accompanied by the Assignment Form attached hereto duly executed by the Holder and the Company may require, as a condition thereto, the payment of a sum sufficient to reimburse it for any transfer tax incidental thereto. The Company shall pay all Transfer Agent fees required for same-day processing of any Notice of Exercise and all fees to the Depository Trust Company (or another established clearing corporation performing similar functions) required for same-day electronic delivery of the Warrant Shares.</w:t>
      </w:r>
    </w:p>
    <w:p>
      <w:pPr>
        <w:pStyle w:val="BodyText-wk"/>
        <w:keepNext w:val="0"/>
        <w:keepLines w:val="0"/>
        <w:pageBreakBefore w:val="0"/>
        <w:widowControl/>
        <w:numPr>
          <w:ilvl w:val="0"/>
          <w:numId w:val="6"/>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Closing of Books</w:t>
      </w:r>
      <w:r>
        <w:rPr>
          <w:rFonts w:ascii="Times New Roman" w:eastAsia="Times New Roman" w:hAnsi="Times New Roman" w:cs="Times New Roman"/>
          <w:b w:val="0"/>
          <w:i w:val="0"/>
          <w:color w:val="000000"/>
          <w:sz w:val="22"/>
          <w:u w:val="none"/>
        </w:rPr>
        <w:t>. The Company will not close its stockholder books or records in any manner which prevents the timely exercise of this Warrant, pursuant to the terms hereof.</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Holder’s Exercise Limitations</w:t>
      </w:r>
      <w:r>
        <w:rPr>
          <w:rFonts w:ascii="Times New Roman" w:eastAsia="Times New Roman" w:hAnsi="Times New Roman" w:cs="Times New Roman"/>
          <w:b w:val="0"/>
          <w:i w:val="0"/>
          <w:color w:val="000000"/>
          <w:sz w:val="22"/>
          <w:u w:val="none"/>
        </w:rPr>
        <w:t>. The Company shall not effect any exercise of this Warrant, and a Holder shall not have the right to exercise any portion of this Warrant, pursuant to Section 2 or otherwise, to the extent that after giving effect to such issuance after exercise as set forth on the applicable Notice of Exercise, the Holder (together with the Holder’s Affiliates, and any other Persons acting as a group together with the Holder or any of the Holder’s Affiliates (such Persons, “</w:t>
      </w:r>
      <w:r>
        <w:rPr>
          <w:rFonts w:ascii="Times New Roman" w:eastAsia="Times New Roman" w:hAnsi="Times New Roman" w:cs="Times New Roman"/>
          <w:b w:val="0"/>
          <w:i w:val="0"/>
          <w:color w:val="000000"/>
          <w:sz w:val="22"/>
          <w:u w:val="single"/>
        </w:rPr>
        <w:t>Attribution Parties</w:t>
      </w:r>
      <w:r>
        <w:rPr>
          <w:rFonts w:ascii="Times New Roman" w:eastAsia="Times New Roman" w:hAnsi="Times New Roman" w:cs="Times New Roman"/>
          <w:b w:val="0"/>
          <w:i w:val="0"/>
          <w:color w:val="000000"/>
          <w:sz w:val="22"/>
          <w:u w:val="none"/>
        </w:rPr>
        <w:t>”)), would beneficially own in excess of the Beneficial Ownership Limitation (as defined below). For purposes of the foregoing sentence, the number of shares of Common Stock beneficially owned by the Holder and its Affiliates and Attribution Parties shall include the number of shares of Common Stock issuable upon exercise of this Warrant with respect to which such determination is being made, but shall exclude the number of shares of Common Stock which would be issuable upon (i) exercise of the remaining, nonexercised portion of this Warrant beneficially owned by the Holder or any of its Affiliates or Attribution Parties and (ii) exercise or conversion of the unexercised or nonconverted portion of any other securities of the Company (including, without limitation, any other Common Stock Equivalents) subject to a limitation on conversion or exercise analogous to the limitation contained herein beneficially owned by the Holder or any of its Affiliates or Attribution Parties. Beneficial ownership shall be calculated in accordance with Section 13(d) of the Exchange Act and the rules and regulations promulgated thereunder, it being acknowledged by the Holder that the Company is not representing to the Holder that such calculation is in compliance with Section 13(d) of the Exchange Act and the Holder is solely responsible for any schedules required to be filed in accordance therewith. To the extent that the limitation contained in this Section 2(e) applies, the determination of whether this Warrant is exercisable (in relation to other securities owned by the Holder together with any Affiliates and Attribution Parties) and of which portion of this Warrant is exercisable shall be in the sole discretion of the Holder, and the submission of a Notice of Exercise shall be deemed to be the Holder’s representation and warranty that this Warrant is exercisable (in relation to other securities owned by the Holder together with any Affiliates and Attribution Parties) for all of the Warrant Shares set forth in such Notice of Exercise, and the Company shall have no obligation to verify or confirm the accuracy of such representation and warranty. In addition, a determination as to any group status as contemplated above shall be determined by the Holder in accordance with Section 13(d) of the Exchange Act and the rules and regulations promulgated thereunder. For purposes of this Section 2(e), in determining the number of outstanding shares of Common Stock, a Holder may rely on the number of outstanding shares of Common Stock as reflected in (A) the Company’s most recent periodic or annual report filed with the Commission, as the case may be, (B) a more recent public announcement by the Company or (C) a more recent written notice by the Company or the Transfer Agent setting forth the number of shares of Common Stock outstanding. Upon the written or oral request of a Holder, the Company shall within one (1) Trading Day confirm orally and in writing to the Holder the number of shares of Common Stock then outstanding. In any case, the number of outstanding shares of Common Stock shall be determined after giving effect to the conversion or exercise of securities of the Company, including this Warrant, by the Holder or its Affiliates or Attribution Parties since the date as of which such number of outstanding shares of Common Stock was reported. The “</w:t>
      </w:r>
      <w:r>
        <w:rPr>
          <w:rFonts w:ascii="Times New Roman" w:eastAsia="Times New Roman" w:hAnsi="Times New Roman" w:cs="Times New Roman"/>
          <w:b w:val="0"/>
          <w:i w:val="0"/>
          <w:color w:val="000000"/>
          <w:sz w:val="22"/>
          <w:u w:val="single"/>
        </w:rPr>
        <w:t>Beneficial Ownership Limitation</w:t>
      </w:r>
      <w:r>
        <w:rPr>
          <w:rFonts w:ascii="Times New Roman" w:eastAsia="Times New Roman" w:hAnsi="Times New Roman" w:cs="Times New Roman"/>
          <w:b w:val="0"/>
          <w:i w:val="0"/>
          <w:color w:val="000000"/>
          <w:sz w:val="22"/>
          <w:u w:val="none"/>
        </w:rPr>
        <w:t>” shall be [4.99]% of the number of shares of Common Stock outstanding immediately after giving effect to the issuance of shares of Common Stock issuable upon exercise of this Warrant. The Holder, upon notice to the Company, may increase or decrease the Beneficial Ownership Limitation provisions of this Section 2(e), provided that the Beneficial Ownership Limitation in no event exceeds 9.99% of the number of the shares of Common Stock outstanding immediately after giving effect to the issuance of shares of Common Stock upon exercise of this Warrant held by the Holder and the provisions of this Section 2(e) shall continue to apply. Any increase or decrease in the Beneficial Ownership Limitation will not be effective until the sixty-first (61</w:t>
      </w:r>
      <w:r>
        <w:rPr>
          <w:rFonts w:ascii="Times New Roman" w:eastAsia="Times New Roman" w:hAnsi="Times New Roman" w:cs="Times New Roman"/>
          <w:b w:val="0"/>
          <w:i w:val="0"/>
          <w:color w:val="000000"/>
          <w:sz w:val="22"/>
          <w:u w:val="none"/>
          <w:vertAlign w:val="superscript"/>
        </w:rPr>
        <w:t>st</w:t>
      </w:r>
      <w:r>
        <w:rPr>
          <w:rFonts w:ascii="Times New Roman" w:eastAsia="Times New Roman" w:hAnsi="Times New Roman" w:cs="Times New Roman"/>
          <w:b w:val="0"/>
          <w:i w:val="0"/>
          <w:color w:val="000000"/>
          <w:sz w:val="22"/>
          <w:u w:val="none"/>
        </w:rPr>
        <w:t>) day after such notice is delivered to the Company. The provisions of this paragraph shall be construed and implemented in a manner otherwise than in strict conformity with the terms of this Section 2(e) to correct this paragraph (or any portion hereof) which may be defective or inconsistent with the intended Beneficial Ownership Limitation herein contained or to make changes or supplements necessary or desirable to properly give effect to such limitation. The limitations contained in this paragraph shall apply to a successor holder of this Warrant.</w:t>
      </w:r>
    </w:p>
    <w:p>
      <w:pPr>
        <w:pStyle w:val="BodyText-wk"/>
        <w:keepNext w:val="0"/>
        <w:keepLines w:val="0"/>
        <w:pageBreakBefore w:val="0"/>
        <w:widowControl/>
        <w:numPr>
          <w:ilvl w:val="0"/>
          <w:numId w:val="4"/>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Exchange Cap</w:t>
      </w:r>
      <w:r>
        <w:rPr>
          <w:rFonts w:ascii="Times New Roman" w:eastAsia="Times New Roman" w:hAnsi="Times New Roman" w:cs="Times New Roman"/>
          <w:b w:val="0"/>
          <w:i w:val="0"/>
          <w:color w:val="000000"/>
          <w:sz w:val="22"/>
          <w:u w:val="none"/>
        </w:rPr>
        <w:t>. Notwithstanding any other provision of this Warrant to the contrary, the Company shall not affect any exercise of this Warrant, and the Holder shall not have the right to exercise any portion of this Warrant, to the extent that after giving effect to such exercise, the Holder, together with any other Person whose beneficial ownership of Common Stock would be aggregated with the Holder’s for purposes of Nasdaq Listing Rule 5635(b), would beneficially own in excess of 19.99% of the number of shares of Common Stock outstanding immediately prior to such exercise (the “</w:t>
      </w:r>
      <w:r>
        <w:rPr>
          <w:rFonts w:ascii="Times New Roman" w:eastAsia="Times New Roman" w:hAnsi="Times New Roman" w:cs="Times New Roman"/>
          <w:b w:val="0"/>
          <w:i w:val="0"/>
          <w:color w:val="000000"/>
          <w:sz w:val="22"/>
          <w:u w:val="single"/>
        </w:rPr>
        <w:t>Exchange Cap</w:t>
      </w:r>
      <w:r>
        <w:rPr>
          <w:rFonts w:ascii="Times New Roman" w:eastAsia="Times New Roman" w:hAnsi="Times New Roman" w:cs="Times New Roman"/>
          <w:b w:val="0"/>
          <w:i w:val="0"/>
          <w:color w:val="000000"/>
          <w:sz w:val="22"/>
          <w:u w:val="none"/>
        </w:rPr>
        <w:t>”). For the avoidance of doubt, the Exchange Cap applies separately from, and in addition to, the Beneficial Ownership Limitation set forth in Section 2(e). The Exchange Cap shall not be waivable by the Holder and shall remain in effect unless and until stockholder approval is obtained in accordance with Nasdaq Listing Rule 5635(b), at which time the Exchange Cap shall no longer apply to exercises of this Warrant.</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r>
        <w:rPr>
          <w:rFonts w:ascii="Times New Roman" w:eastAsia="Times New Roman" w:hAnsi="Times New Roman" w:cs="Times New Roman"/>
          <w:b w:val="0"/>
          <w:i w:val="0"/>
          <w:color w:val="000000"/>
          <w:sz w:val="22"/>
          <w:u w:val="single"/>
        </w:rPr>
        <w:t>Section 3</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Certain Adjustments</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Stock Dividends and Splits</w:t>
      </w:r>
      <w:r>
        <w:rPr>
          <w:rFonts w:ascii="Times New Roman" w:eastAsia="Times New Roman" w:hAnsi="Times New Roman" w:cs="Times New Roman"/>
          <w:b w:val="0"/>
          <w:i w:val="0"/>
          <w:color w:val="000000"/>
          <w:sz w:val="22"/>
          <w:u w:val="none"/>
        </w:rPr>
        <w:t>. If the Company, at any time while this Warrant is outstanding: (i) pays a stock dividend or otherwise makes a distribution or distributions on its shares of Common Stock or any other equity or equity equivalent securities payable in shares of Common Stock (which, for avoidance of doubt, shall not include any shares of Common Stock issued by the Company upon exercise of this Warrant), (ii) subdivides outstanding shares of Common Stock into a larger number of shares, (iii) combines (including by way of reverse stock split) outstanding shares of Common Stock into a smaller number of shares of Common Stock, or (iv) issues by reclassification of shares of Common Stock any shares of capital stock of the Company, then in each case the Exercise Price shall be multiplied by a fraction of which the numerator shall be the number of shares of Common Stock (excluding treasury shares, if any) outstanding immediately before such event and of which the denominator shall be the number of shares of Common Stock outstanding immediately after such event, and the number of shares issuable upon exercise of this Warrant shall be proportionately adjusted such that the aggregate Exercise Price of this Warrant shall remain unchanged. Any adjustment made pursuant to this Section 3(a) shall become effective immediately after the record date for the determination of stockholders entitled to receive such dividend or distribution (provided, that such adjustment shall be reversed if such dividend or distribution is terminated prior to the making thereof) and shall become effective immediately after the effective date in the case of a subdivision, combination or re-classification.</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Subsequent Rights Offerings</w:t>
      </w:r>
      <w:r>
        <w:rPr>
          <w:rFonts w:ascii="Times New Roman" w:eastAsia="Times New Roman" w:hAnsi="Times New Roman" w:cs="Times New Roman"/>
          <w:b w:val="0"/>
          <w:i w:val="0"/>
          <w:color w:val="000000"/>
          <w:sz w:val="22"/>
          <w:u w:val="none"/>
        </w:rPr>
        <w:t>. In addition to (but without duplication of) any adjustments pursuant to Section 3(a) above, if at any time the Company grants, issues or sells any Common Stock Equivalents or rights to purchase stock, warrants, securities or other property pro rata to the record holders of any class of shares of Common Stock (the “</w:t>
      </w:r>
      <w:r>
        <w:rPr>
          <w:rFonts w:ascii="Times New Roman" w:eastAsia="Times New Roman" w:hAnsi="Times New Roman" w:cs="Times New Roman"/>
          <w:b w:val="0"/>
          <w:i w:val="0"/>
          <w:color w:val="000000"/>
          <w:sz w:val="22"/>
          <w:u w:val="single"/>
        </w:rPr>
        <w:t>Purchase Rights</w:t>
      </w:r>
      <w:r>
        <w:rPr>
          <w:rFonts w:ascii="Times New Roman" w:eastAsia="Times New Roman" w:hAnsi="Times New Roman" w:cs="Times New Roman"/>
          <w:b w:val="0"/>
          <w:i w:val="0"/>
          <w:color w:val="000000"/>
          <w:sz w:val="22"/>
          <w:u w:val="none"/>
        </w:rPr>
        <w:t>”), then the Holder will be entitled to acquire, upon the terms applicable to such Purchase Rights, the aggregate Purchase Rights which the Holder could have acquired if the Holder had held the number of shares of Common Stock acquirable upon complete exercise of this Warrant (without regard to any limitations on exercise hereof, including without limitation, the Beneficial Ownership Limitation) immediately before the date on which a record is taken for the grant, issuance or sale of such Purchase Rights, or, if no such record is taken, the date as of which the record holders of shares of Common Stock are to be determined for the grant, issue or sale of such Purchase Rights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color w:val="000000"/>
          <w:sz w:val="22"/>
          <w:u w:val="none"/>
        </w:rPr>
        <w:t>, to the extent that the Holder’s right to participate in any such Purchase Right would result in the Holder exceeding the Beneficial Ownership Limitation, then the Holder shall not be entitled to participate in such Purchase Right to such extent (or beneficial ownership of such shares of Common Stock as a result of such Purchase Right to such extent) and such Purchase Right to such extent shall be held in abeyance for the Holder until such time, if ever, as its right thereto would not result in the Holder exceeding the Beneficial Ownership Limitation).</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Pro Rata Distributions</w:t>
      </w:r>
      <w:r>
        <w:rPr>
          <w:rFonts w:ascii="Times New Roman" w:eastAsia="Times New Roman" w:hAnsi="Times New Roman" w:cs="Times New Roman"/>
          <w:b w:val="0"/>
          <w:i w:val="0"/>
          <w:color w:val="000000"/>
          <w:sz w:val="22"/>
          <w:u w:val="none"/>
        </w:rPr>
        <w:t>. During such time as this Warrant is outstanding, if the Company shall declare or make any dividend or other distribution of its assets (or rights to acquire its assets) to holders of Common Stock, by way of return of capital or otherwise (including, without limitation, any distribution of cash, stock or other securities, property or options by way of a dividend, spin off, reclassification, corporate rearrangement, scheme of arrangement or other similar transaction), (a “</w:t>
      </w:r>
      <w:r>
        <w:rPr>
          <w:rFonts w:ascii="Times New Roman" w:eastAsia="Times New Roman" w:hAnsi="Times New Roman" w:cs="Times New Roman"/>
          <w:b w:val="0"/>
          <w:i w:val="0"/>
          <w:color w:val="000000"/>
          <w:sz w:val="22"/>
          <w:u w:val="single"/>
        </w:rPr>
        <w:t>Distribution</w:t>
      </w:r>
      <w:r>
        <w:rPr>
          <w:rFonts w:ascii="Times New Roman" w:eastAsia="Times New Roman" w:hAnsi="Times New Roman" w:cs="Times New Roman"/>
          <w:b w:val="0"/>
          <w:i w:val="0"/>
          <w:color w:val="000000"/>
          <w:sz w:val="22"/>
          <w:u w:val="none"/>
        </w:rPr>
        <w:t>”), other than a dividend or distribution covered by Section 3(a), at any time after the issuance of this Warrant, then, in each such case, the Holder shall be entitled to participate in such Distribution to the same extent that the Holder would have participated therein if the Holder had held the number of shares of Common Stock acquirable upon complete exercise of this Warrant (without regard to any limitations on exercise hereof, including without limitation, the Beneficial Ownership Limitation) immediately before the date of which a record is taken for such Distribution, or, if no such record is taken, the date as of which the record holders of Common Stock are to be determined for the participation in such Distribution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color w:val="000000"/>
          <w:sz w:val="22"/>
          <w:u w:val="none"/>
        </w:rPr>
        <w:t xml:space="preserve">, to the extent that the Holder’s right to participate in any such Distribution would result in the Holder exceeding the Beneficial Ownership Limitation, then the Holder shall not be entitled to participate in such Distribution to such extent (or in the beneficial ownership of any shares of Common Stock as a result of such Distribution to such extent) and the portion of such Distribution shall be held in abeyance for the benefit of the Holder until such time, if ever, as its right thereto would not result in the Holder exceeding the Beneficial Ownership Limitation). </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Fundamental Transaction</w:t>
      </w:r>
      <w:r>
        <w:rPr>
          <w:rFonts w:ascii="Times New Roman" w:eastAsia="Times New Roman" w:hAnsi="Times New Roman" w:cs="Times New Roman"/>
          <w:b w:val="0"/>
          <w:i w:val="0"/>
          <w:color w:val="000000"/>
          <w:sz w:val="22"/>
          <w:u w:val="none"/>
        </w:rPr>
        <w:t>. If, at any time while this Warrant is outstanding, (i) the Company, directly or indirectly, in one or more related transactions effects any merger or consolidation of the Company with or into another Person, (ii) the Company, directly or indirectly, effects any sale, lease, license, assignment, transfer, conveyance or other disposition of all or substantially all of its assets in one or a series of related transactions, (iii) any direct or indirect, purchase offer, tender offer or exchange offer (whether by the Company or another Person) is completed pursuant to which holders of Common Stock are permitted to sell, tender or exchange their shares for other securities, cash or property and has been accepted by the holders of more than 50% of the outstanding shares of Common Stock, (iv) the Company, directly or indirectly, in one or more related transactions effects any reclassification, reorganization or recapitalization of the Common Stock or any compulsory share exchange pursuant to which the shares of Common Stock are effectively converted into or exchanged for other securities, cash or property, or (v) the Company, directly or indirectly, in one or more related transactions consummates a stock or share purchase agreement or other business combination (including, without limitation, a reorganization, recapitalization, spin-off, merger or scheme of arrangement) with another Person or group of Persons whereby such other Person or group acquires more than 50% of the outstanding shares of Common Stock (not including any shares of Common Stock held by the other Person or other Persons making or party to, or associated or affiliated with the other Persons making or party to, such stock or share purchase agreement or other business combination), and in connection with any such transaction described in clauses (i)-(v) of this sentence the Common Stock is converted into or exchanged for other securities, cash or property (each a “</w:t>
      </w:r>
      <w:r>
        <w:rPr>
          <w:rFonts w:ascii="Times New Roman" w:eastAsia="Times New Roman" w:hAnsi="Times New Roman" w:cs="Times New Roman"/>
          <w:b w:val="0"/>
          <w:i w:val="0"/>
          <w:color w:val="000000"/>
          <w:sz w:val="22"/>
          <w:u w:val="single"/>
        </w:rPr>
        <w:t>Fundamental Transaction</w:t>
      </w:r>
      <w:r>
        <w:rPr>
          <w:rFonts w:ascii="Times New Roman" w:eastAsia="Times New Roman" w:hAnsi="Times New Roman" w:cs="Times New Roman"/>
          <w:b w:val="0"/>
          <w:i w:val="0"/>
          <w:color w:val="000000"/>
          <w:sz w:val="22"/>
          <w:u w:val="none"/>
        </w:rPr>
        <w:t>”), then, upon any subsequent exercise of this Warrant, the Holder shall receive, for each Warrant Share that would have been issuable upon such exercise immediately prior to the occurrence of such Fundamental Transaction (without regard to any limitation in Section 2(e) on the exercise of this Warrant), the securities, cash and other property of the successor or acquiring corporation (or ultimate parent company thereof) or of the Company, if it is the surviving corporation, as applicable (the “</w:t>
      </w:r>
      <w:r>
        <w:rPr>
          <w:rFonts w:ascii="Times New Roman" w:eastAsia="Times New Roman" w:hAnsi="Times New Roman" w:cs="Times New Roman"/>
          <w:b w:val="0"/>
          <w:i w:val="0"/>
          <w:color w:val="000000"/>
          <w:sz w:val="22"/>
          <w:u w:val="single"/>
        </w:rPr>
        <w:t>Alternate Consideration</w:t>
      </w:r>
      <w:r>
        <w:rPr>
          <w:rFonts w:ascii="Times New Roman" w:eastAsia="Times New Roman" w:hAnsi="Times New Roman" w:cs="Times New Roman"/>
          <w:b w:val="0"/>
          <w:i w:val="0"/>
          <w:color w:val="000000"/>
          <w:sz w:val="22"/>
          <w:u w:val="none"/>
        </w:rPr>
        <w:t>”), receivable as a result of such Fundamental Transaction by a holder of the number of shares of Common Stock for which this Warrant is exercisable immediately prior to such Fundamental Transaction (without regard to any limitation in Section 2(e) on the exercise of this Warrant). If holders of outstanding shares of Common Stock are given any choice as to the securities, cash or property to be received in a Fundamental Transaction, then the Holder shall be given the same choice as to the Alternate Consideration it receives upon any exercise of this Warrant following such Fundamental Transaction. The Company shall cause any successor entity in a Fundamental Transaction in which the Company is not the survivor (the “</w:t>
      </w:r>
      <w:r>
        <w:rPr>
          <w:rFonts w:ascii="Times New Roman" w:eastAsia="Times New Roman" w:hAnsi="Times New Roman" w:cs="Times New Roman"/>
          <w:b w:val="0"/>
          <w:i w:val="0"/>
          <w:color w:val="000000"/>
          <w:sz w:val="22"/>
          <w:u w:val="single"/>
        </w:rPr>
        <w:t>Successor Entity</w:t>
      </w:r>
      <w:r>
        <w:rPr>
          <w:rFonts w:ascii="Times New Roman" w:eastAsia="Times New Roman" w:hAnsi="Times New Roman" w:cs="Times New Roman"/>
          <w:b w:val="0"/>
          <w:i w:val="0"/>
          <w:color w:val="000000"/>
          <w:sz w:val="22"/>
          <w:u w:val="none"/>
        </w:rPr>
        <w:t>”) to assume in writing all of the obligations of the Company under this Warrant in accordance with the provisions of this Section 3(d). Notwithstanding the foregoing, in the event of a Fundamental Transaction where the consideration payable to holders of Common Stock consists solely of cash, solely of Marketable Securities or a combination of cash and Marketable Securities, then this Warrant shall automatically be deemed to be exercised in full in a “cashless exercise” pursuant to Section 2(c), effective immediately prior to and contingent upon the consummation of such Fundamental Transaction.</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Calculations</w:t>
      </w:r>
      <w:r>
        <w:rPr>
          <w:rFonts w:ascii="Times New Roman" w:eastAsia="Times New Roman" w:hAnsi="Times New Roman" w:cs="Times New Roman"/>
          <w:b w:val="0"/>
          <w:i w:val="0"/>
          <w:color w:val="000000"/>
          <w:sz w:val="22"/>
          <w:u w:val="none"/>
        </w:rPr>
        <w:t>. All calculations under this Section 3 shall be made to the nearest cent or the nearest 1/100th of a share, as the case may be. For purposes of this Section 3, the number of shares of Common Stock deemed to be issued and outstanding as of a given date shall be the sum of the number of shares of Common Stock (excluding treasury shares, if any) issued and outstanding.</w:t>
      </w:r>
    </w:p>
    <w:p>
      <w:pPr>
        <w:pStyle w:val="BodyText-wk"/>
        <w:keepNext w:val="0"/>
        <w:keepLines w:val="0"/>
        <w:pageBreakBefore w:val="0"/>
        <w:widowControl/>
        <w:numPr>
          <w:ilvl w:val="0"/>
          <w:numId w:val="7"/>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Notice to Holder</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8"/>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Adjustment to Exercise Price</w:t>
      </w:r>
      <w:r>
        <w:rPr>
          <w:rFonts w:ascii="Times New Roman" w:eastAsia="Times New Roman" w:hAnsi="Times New Roman" w:cs="Times New Roman"/>
          <w:b w:val="0"/>
          <w:i w:val="0"/>
          <w:color w:val="000000"/>
          <w:sz w:val="22"/>
          <w:u w:val="none"/>
        </w:rPr>
        <w:t>. Whenever the Exercise Price is adjusted pursuant to any provision of this Section 3, the Company shall promptly deliver to the Holder by facsimile or email a notice setting forth the Exercise Price after such adjustment and any resulting adjustment to the number of Warrant Shares and setting forth a brief statement of the facts requiring such adjustment.</w:t>
      </w:r>
    </w:p>
    <w:p>
      <w:pPr>
        <w:pStyle w:val="BodyText-wk"/>
        <w:keepNext w:val="0"/>
        <w:keepLines w:val="0"/>
        <w:pageBreakBefore w:val="0"/>
        <w:widowControl/>
        <w:numPr>
          <w:ilvl w:val="0"/>
          <w:numId w:val="9"/>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Notice to Allow Exercise by Holder</w:t>
      </w:r>
      <w:r>
        <w:rPr>
          <w:rFonts w:ascii="Times New Roman" w:eastAsia="Times New Roman" w:hAnsi="Times New Roman" w:cs="Times New Roman"/>
          <w:b w:val="0"/>
          <w:i w:val="0"/>
          <w:color w:val="000000"/>
          <w:sz w:val="22"/>
          <w:u w:val="none"/>
        </w:rPr>
        <w:t>. If (A) the Company shall declare a dividend (or any other distribution in whatever form) on the shares of Common Stock, (B) the Company shall declare a special nonrecurring cash dividend on or a redemption of the shares of Common Stock, (C) the Company shall authorize the granting to all holders of the shares of Common Stock rights or warrants to subscribe for or purchase any capital stock of any class or of any rights, (D) the approval of any stockholders of the Company shall be required in connection with any reclassification of the shares of Common Stock, any consolidation or merger to which the Company is a party, any sale or transfer of all or substantially all of the assets of the Company, or any compulsory share exchange whereby the shares of Common Stock are converted into other securities, cash or property, or (E) the Company shall authorize the voluntary or involuntary dissolution, liquidation or winding up of the affairs of the Company, then, in each case, the Company shall cause to be delivered by facsimile or email to the Holder at its last facsimile number or email address as it shall appear upon the Warrant Register of the Company, at least five (5) calendar days prior to the applicable record or effective date hereinafter specified, a notice stating (x) the date on which a record is to be taken for the purpose of such dividend, distribution, redemption, rights or warrants, or if a record is not to be taken, the date as of which the holders of the Common Stock of record to be entitled to such dividend, distributions, redemption, rights or warrants are to be determined or (y) the date on which such reclassification, consolidation, merger, sale, transfer or stock exchange is expected to become effective or close, and the date as of which it is expected that holders of the Common Stock of record shall be entitled to exchange their shares of Common Stock for securities, cash or other property deliverable upon such reclassification, consolidation, merger, sale, transfer or stock exchange; provided that the failure to deliver such notice or any defect therein or in the delivery thereof shall not affect the validity of the corporate action required to be specified in such notice; and provided further, that no notice shall be required if the information is disseminated in a press release or document publicly filed with the Commission. To the extent that any notice provided in this Warrant constitutes, or contains, material, non-public information regarding the Company, the Company shall substantially contemporaneously file such notice with the Commission pursuant to a Current Report on Form 8-K. The Holder shall remain entitled to exercise this Warrant during the period commencing on the date of such notice to the effective date of the event triggering such notice except as may otherwise be expressly set forth herein.</w:t>
      </w:r>
    </w:p>
    <w:p>
      <w:pPr>
        <w:pStyle w:val="BodyText-wk"/>
        <w:keepNext w:val="0"/>
        <w:keepLines w:val="0"/>
        <w:pageBreakBefore w:val="0"/>
        <w:widowControl/>
        <w:numPr>
          <w:ilvl w:val="0"/>
          <w:numId w:val="9"/>
        </w:numPr>
        <w:spacing w:before="180" w:after="180" w:line="288" w:lineRule="auto"/>
        <w:ind w:left="1440" w:right="0" w:hanging="360"/>
        <w:jc w:val="both"/>
        <w:outlineLvl w:val="9"/>
        <w:rPr>
          <w:rFonts w:ascii="Times New Roman" w:eastAsia="Times New Roman" w:hAnsi="Times New Roman" w:cs="Times New Roman"/>
          <w:b w:val="0"/>
          <w:i w:val="0"/>
          <w:color w:val="000000"/>
          <w:sz w:val="22"/>
          <w:u w:val="single"/>
        </w:rPr>
      </w:pPr>
      <w:r>
        <w:rPr>
          <w:rFonts w:ascii="Times New Roman" w:eastAsia="Times New Roman" w:hAnsi="Times New Roman" w:cs="Times New Roman"/>
          <w:b w:val="0"/>
          <w:i w:val="0"/>
          <w:color w:val="000000"/>
          <w:sz w:val="22"/>
          <w:u w:val="single"/>
        </w:rPr>
        <w:t>Voluntary Adjustments by the Company</w:t>
      </w:r>
      <w:r>
        <w:rPr>
          <w:rFonts w:ascii="Times New Roman" w:eastAsia="Times New Roman" w:hAnsi="Times New Roman" w:cs="Times New Roman"/>
          <w:b w:val="0"/>
          <w:i w:val="0"/>
          <w:color w:val="000000"/>
          <w:sz w:val="22"/>
          <w:u w:val="none"/>
        </w:rPr>
        <w:t>. The Company may, subject to the rules and regulations of the Trading Market, at any time during the term of this Warrant, reduce the then current Exercise Price to any amount and extend the term of this Warrant for any period of time deemed appropriate by the Board of Directors of the Company.</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single"/>
        </w:rPr>
        <w:t>Section 4</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Transfer of Warrant</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10"/>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Transferability</w:t>
      </w:r>
      <w:r>
        <w:rPr>
          <w:rFonts w:ascii="Times New Roman" w:eastAsia="Times New Roman" w:hAnsi="Times New Roman" w:cs="Times New Roman"/>
          <w:b w:val="0"/>
          <w:i w:val="0"/>
          <w:color w:val="000000"/>
          <w:sz w:val="22"/>
          <w:u w:val="none"/>
        </w:rPr>
        <w:t>. Subject to compliance with any applicable securities laws and the conditions set forth in Section 4(d) hereof and to the provisions of Article IV of the Purchase Agreement, this Warrant and all rights hereunder (including, without limitation, any registration rights) are transferable, in whole or in part, upon surrender of this Warrant at the principal office of the Company or its designated agent, together with a written assignment of this Warrant substantially in the form attached hereto duly executed by the Holder or its agent or attorney and funds sufficient to pay any transfer taxes payable upon the making of such transfer. Upon such surrender and, if required, such payment, the Company shall execute and deliver a new Warrant or Warrants in the name of the assignee or assignees, as applicable, and in the denomination or denominations specified in such instrument of assignment, and shall issue to the assignor a new Warrant evidencing the portion of this Warrant not so assigned, and this Warrant shall promptly be cancelled.</w:t>
      </w:r>
    </w:p>
    <w:p>
      <w:pPr>
        <w:pStyle w:val="BodyText-wk"/>
        <w:keepNext w:val="0"/>
        <w:keepLines w:val="0"/>
        <w:pageBreakBefore w:val="0"/>
        <w:widowControl/>
        <w:numPr>
          <w:ilvl w:val="0"/>
          <w:numId w:val="10"/>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New Warrants</w:t>
      </w:r>
      <w:r>
        <w:rPr>
          <w:rFonts w:ascii="Times New Roman" w:eastAsia="Times New Roman" w:hAnsi="Times New Roman" w:cs="Times New Roman"/>
          <w:b w:val="0"/>
          <w:i w:val="0"/>
          <w:color w:val="000000"/>
          <w:sz w:val="22"/>
          <w:u w:val="none"/>
        </w:rPr>
        <w:t>. This Warrant may be divided or combined with other Warrants upon presentation hereof at the aforesaid office of the Company, together with a written notice specifying the names and denominations in which new Warrants are to be issued, signed by the Holder or its agent or attorney. Subject to compliance with Section 4(a), as to any transfer which may be involved in such division or combination, the Company shall execute and deliver a new Warrant or Warrants in exchange for the Warrant or Warrants to be divided or combined in accordance with such notice. All Warrants issued on transfers or exchanges shall be dated the Initial Exercise Date and shall be identical with this Warrant except as to the number of Warrant Shares issuable pursuant thereto.</w:t>
      </w:r>
    </w:p>
    <w:p>
      <w:pPr>
        <w:pStyle w:val="BodyText-wk"/>
        <w:keepNext w:val="0"/>
        <w:keepLines w:val="0"/>
        <w:pageBreakBefore w:val="0"/>
        <w:widowControl/>
        <w:numPr>
          <w:ilvl w:val="0"/>
          <w:numId w:val="10"/>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Warrant Register</w:t>
      </w:r>
      <w:r>
        <w:rPr>
          <w:rFonts w:ascii="Times New Roman" w:eastAsia="Times New Roman" w:hAnsi="Times New Roman" w:cs="Times New Roman"/>
          <w:b w:val="0"/>
          <w:i w:val="0"/>
          <w:color w:val="000000"/>
          <w:sz w:val="22"/>
          <w:u w:val="none"/>
        </w:rPr>
        <w:t>. The Company shall register this Warrant, upon records to be maintained by the Company for that purpose (the “</w:t>
      </w:r>
      <w:r>
        <w:rPr>
          <w:rFonts w:ascii="Times New Roman" w:eastAsia="Times New Roman" w:hAnsi="Times New Roman" w:cs="Times New Roman"/>
          <w:b w:val="0"/>
          <w:i w:val="0"/>
          <w:color w:val="000000"/>
          <w:sz w:val="22"/>
          <w:u w:val="single"/>
        </w:rPr>
        <w:t>Warrant Register</w:t>
      </w:r>
      <w:r>
        <w:rPr>
          <w:rFonts w:ascii="Times New Roman" w:eastAsia="Times New Roman" w:hAnsi="Times New Roman" w:cs="Times New Roman"/>
          <w:b w:val="0"/>
          <w:i w:val="0"/>
          <w:color w:val="000000"/>
          <w:sz w:val="22"/>
          <w:u w:val="none"/>
        </w:rPr>
        <w:t>”), in the name of the record Holder hereof from time to time. The Company may deem and treat the registered Holder of this Warrant as the absolute owner hereof for the purpose of any exercise hereof or any distribution to the Holder, and for all other purposes, absent actual notice to the contrary.</w:t>
      </w:r>
    </w:p>
    <w:p>
      <w:pPr>
        <w:pStyle w:val="BodyText-wk"/>
        <w:keepNext w:val="0"/>
        <w:keepLines w:val="0"/>
        <w:pageBreakBefore w:val="0"/>
        <w:widowControl/>
        <w:numPr>
          <w:ilvl w:val="0"/>
          <w:numId w:val="10"/>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Transfer Restrictions</w:t>
      </w:r>
      <w:r>
        <w:rPr>
          <w:rFonts w:ascii="Times New Roman" w:eastAsia="Times New Roman" w:hAnsi="Times New Roman" w:cs="Times New Roman"/>
          <w:b w:val="0"/>
          <w:i w:val="0"/>
          <w:color w:val="000000"/>
          <w:sz w:val="22"/>
          <w:u w:val="none"/>
        </w:rPr>
        <w:t>. If, at the time of the surrender of this Warrant in connection with any transfer of this Warrant, the transfer of this Warrant shall not be eligible for resale without volume or manner-of-sale restrictions or current public information requirements pursuant to Rule 144, the Company may require, as a condition of allowing such transfer, that the Holder or transferee of this Warrant, as the case may be, comply with the provisions of Section 5.7 of the Purchase Agreement.</w:t>
      </w:r>
    </w:p>
    <w:p>
      <w:pPr>
        <w:pStyle w:val="BodyText-wk"/>
        <w:keepNext w:val="0"/>
        <w:keepLines w:val="0"/>
        <w:pageBreakBefore w:val="0"/>
        <w:widowControl/>
        <w:numPr>
          <w:ilvl w:val="0"/>
          <w:numId w:val="10"/>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Representation by the Holder</w:t>
      </w:r>
      <w:r>
        <w:rPr>
          <w:rFonts w:ascii="Times New Roman" w:eastAsia="Times New Roman" w:hAnsi="Times New Roman" w:cs="Times New Roman"/>
          <w:b w:val="0"/>
          <w:i w:val="0"/>
          <w:color w:val="000000"/>
          <w:sz w:val="22"/>
          <w:u w:val="none"/>
        </w:rPr>
        <w:t>. The Holder, by the acceptance hereof, represents and warrants that it is an “accredited investor”, as defined in Regulation D promulgated under the Securities Act, acquiring this Warrant and, upon any exercise hereof, will acquire the Warrant Shares issuable upon such exercise, for its own account and not with a view to or for distributing or reselling such Warrant Shares or any part thereof in violation of the Securities Act or any applicable state securities law, except pursuant to sales registered or exempted under the Securities Act. As provided in the Notice of Exercise, upon any exercise of this Warrant, the Holder will again be required to represent that it is an “accredited investor”, as defined in Regulation D promulgated under the Securities Act.</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single"/>
        </w:rPr>
        <w:t>Section 5</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Miscellaneous</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Rights as Stockholder Until Exercise</w:t>
      </w:r>
      <w:r>
        <w:rPr>
          <w:rFonts w:ascii="Times New Roman" w:eastAsia="Times New Roman" w:hAnsi="Times New Roman" w:cs="Times New Roman"/>
          <w:b w:val="0"/>
          <w:i w:val="0"/>
          <w:color w:val="000000"/>
          <w:sz w:val="22"/>
          <w:u w:val="none"/>
        </w:rPr>
        <w:t>. This Warrant does not entitle the Holder to any voting rights, dividends or other rights as a stockholder of the Company prior to the exercise hereof as set forth in Section 2(d)(i), except as expressly set forth in Section 3.</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Loss, Theft, Destruction or Mutilation of Warrant</w:t>
      </w:r>
      <w:r>
        <w:rPr>
          <w:rFonts w:ascii="Times New Roman" w:eastAsia="Times New Roman" w:hAnsi="Times New Roman" w:cs="Times New Roman"/>
          <w:b w:val="0"/>
          <w:i w:val="0"/>
          <w:color w:val="000000"/>
          <w:sz w:val="22"/>
          <w:u w:val="none"/>
        </w:rPr>
        <w:t>. The Company covenants that upon receipt by the Company of evidence reasonably satisfactory to it of the loss, theft, destruction or mutilation of this Warrant or any stock certificate relating to the Warrant Shares, and in case of loss, theft or destruction, of indemnity or security reasonably satisfactory to it (which, in the case of the Warrant, shall not include the posting of any bond), and upon surrender and cancellation of such Warrant or stock certificate, if mutilated, the Company will make and deliver a new Warrant or stock certificate of like tenor and dated as of such cancellation, in lieu of such Warrant or stock certificate.</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Saturdays, Sundays, Holidays, etc</w:t>
      </w:r>
      <w:r>
        <w:rPr>
          <w:rFonts w:ascii="Times New Roman" w:eastAsia="Times New Roman" w:hAnsi="Times New Roman" w:cs="Times New Roman"/>
          <w:b w:val="0"/>
          <w:i w:val="0"/>
          <w:color w:val="000000"/>
          <w:sz w:val="22"/>
          <w:u w:val="none"/>
        </w:rPr>
        <w:t>. If the last or appointed day for the taking of any action or the expiration of any right required or granted herein shall not be a Business Day, then such action may be taken or such right may be exercised on the next succeeding Business Day.</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Authorized Shares</w:t>
      </w:r>
      <w:r>
        <w:rPr>
          <w:rFonts w:ascii="Times New Roman" w:eastAsia="Times New Roman" w:hAnsi="Times New Roman" w:cs="Times New Roman"/>
          <w:b w:val="0"/>
          <w:i w:val="0"/>
          <w:color w:val="000000"/>
          <w:sz w:val="22"/>
          <w:u w:val="none"/>
        </w:rPr>
        <w:t>.</w:t>
      </w:r>
    </w:p>
    <w:p>
      <w:pPr>
        <w:pStyle w:val="BodyText-wk"/>
        <w:keepNext w:val="0"/>
        <w:keepLines w:val="0"/>
        <w:pageBreakBefore w:val="0"/>
        <w:widowControl/>
        <w:numPr>
          <w:ilvl w:val="0"/>
          <w:numId w:val="0"/>
        </w:numPr>
        <w:spacing w:before="180" w:after="180" w:line="288" w:lineRule="auto"/>
        <w:ind w:left="720" w:right="0" w:firstLine="36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The Company covenants that, during the period the Warrant is outstanding, it will reserve from its authorized and unissued shares of Common Stock a sufficient number of shares to provide for the issuance of the Warrant Shares upon the exercise of any purchase rights under this Warrant. The Company further covenants that its issuance of this Warrant shall constitute full authority to its officers who are charged with the duty of issuing the necessary Warrant Shares upon the exercise of the purchase rights under this Warrant. The Company will take all such reasonable action as may be necessary to assure that such Warrant Shares may be issued as provided herein without violation of any applicable law or regulation, or of any requirements of the Trading Market upon which the shares of Common Stock may be listed. The Company covenants that all Warrant Shares which may be issued upon the exercise of the purchase rights represented by this Warrant will, upon exercise of the purchase rights represented by this Warrant and payment for such Warrant Shares in accordance herewith, be duly authorized, validly issued, fully paid and nonassessable and free from all taxes, liens and charges created by the Company in respect of the issue thereof (other than taxes in respect of any transfer occurring contemporaneously with such issue).</w:t>
      </w:r>
    </w:p>
    <w:p>
      <w:pPr>
        <w:pStyle w:val="BodyText-wk"/>
        <w:keepNext w:val="0"/>
        <w:keepLines w:val="0"/>
        <w:pageBreakBefore w:val="0"/>
        <w:widowControl/>
        <w:numPr>
          <w:ilvl w:val="0"/>
          <w:numId w:val="0"/>
        </w:numPr>
        <w:spacing w:before="180" w:after="180" w:line="288" w:lineRule="auto"/>
        <w:ind w:left="72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Except and to the extent as waived or consented to by the Holder, the Company shall not by any action, including, without limitation, amending its certificate of incorporation or through any reorganization, transfer of assets, consolidation, merger, dissolution, issue or sale of securities or any other voluntary action, avoid or seek to avoid the observance or performance of any of the terms of this Warrant, but will at all times in good faith assist in the carrying out of all such terms and in the taking of all such actions as may be necessary or appropriate to protect the rights of Holder as set forth in this Warrant against impairment. Without limiting the generality of the foregoing, the Company will (i) not increase the par value of any Warrant Shares above the amount payable therefor upon such exercise immediately prior to such increase in par value, (ii) take all such action as may be necessary or appropriate in order that the Company may validly and legally issue fully paid and nonassessable Warrant Shares upon the exercise of this Warrant and (iii) use commercially reasonable efforts to obtain all such authorizations, exemptions or consents from any public regulatory body having jurisdiction thereof, as may be, necessary to enable the Company to perform its obligations under this Warrant.</w:t>
      </w:r>
    </w:p>
    <w:p>
      <w:pPr>
        <w:pStyle w:val="BodyText-wk"/>
        <w:keepNext w:val="0"/>
        <w:keepLines w:val="0"/>
        <w:pageBreakBefore w:val="0"/>
        <w:widowControl/>
        <w:numPr>
          <w:ilvl w:val="0"/>
          <w:numId w:val="0"/>
        </w:numPr>
        <w:spacing w:before="180" w:after="180" w:line="288" w:lineRule="auto"/>
        <w:ind w:left="72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Before taking any action which would result in an adjustment in the number of Warrant Shares for which this Warrant is exercisable or in the Exercise Price, the Company shall obtain all such authorizations or exemptions thereof, or consents thereto, as may be necessary from any public regulatory body or bodies having jurisdiction thereof.</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Jurisdiction and Governing Law</w:t>
      </w:r>
      <w:r>
        <w:rPr>
          <w:rFonts w:ascii="Times New Roman" w:eastAsia="Times New Roman" w:hAnsi="Times New Roman" w:cs="Times New Roman"/>
          <w:b w:val="0"/>
          <w:i w:val="0"/>
          <w:color w:val="000000"/>
          <w:sz w:val="22"/>
          <w:u w:val="none"/>
        </w:rPr>
        <w:t>. All questions concerning the construction, validity, enforcement and interpretation of this Warrant shall be determined in accordance with Section 5.9 of the Purchase Agreement.</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Restrictions</w:t>
      </w:r>
      <w:r>
        <w:rPr>
          <w:rFonts w:ascii="Times New Roman" w:eastAsia="Times New Roman" w:hAnsi="Times New Roman" w:cs="Times New Roman"/>
          <w:b w:val="0"/>
          <w:i w:val="0"/>
          <w:color w:val="000000"/>
          <w:sz w:val="22"/>
          <w:u w:val="none"/>
        </w:rPr>
        <w:t>. The Holder acknowledges that the Warrant Shares acquired upon the exercise of this Warrant, if not registered, and the Holder does not utilize cashless exercise, will have restrictions upon resale imposed by state and federal securities laws and that the Warrant Shares may be subject to legends and stop transfer instructions consistent therewith.</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Nonwaiver and Expenses</w:t>
      </w:r>
      <w:r>
        <w:rPr>
          <w:rFonts w:ascii="Times New Roman" w:eastAsia="Times New Roman" w:hAnsi="Times New Roman" w:cs="Times New Roman"/>
          <w:b w:val="0"/>
          <w:i w:val="0"/>
          <w:color w:val="000000"/>
          <w:sz w:val="22"/>
          <w:u w:val="none"/>
        </w:rPr>
        <w:t>. No course of dealing or any delay or failure to exercise any right hereunder on the part of Holder shall operate as a waiver of such right or otherwise prejudice the Holder’s rights, powers or remedies. Without limiting any other provision of this Warrant or the Purchase Agreement, if the Company willfully and knowingly fails to comply with any provision of this Warrant, which results in any material damages to the Holder, the Company shall pay to the Holder such amounts as shall be sufficient to cover any costs and expenses including, but not limited to, reasonable attorneys’ fees, including those of appellate proceedings, incurred by the Holder in collecting any amounts due pursuant hereto or in otherwise enforcing any of its rights, powers or remedies hereunder.</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Notices</w:t>
      </w:r>
      <w:r>
        <w:rPr>
          <w:rFonts w:ascii="Times New Roman" w:eastAsia="Times New Roman" w:hAnsi="Times New Roman" w:cs="Times New Roman"/>
          <w:b w:val="0"/>
          <w:i w:val="0"/>
          <w:color w:val="000000"/>
          <w:sz w:val="22"/>
          <w:u w:val="none"/>
        </w:rPr>
        <w:t>. Any notice, request or other document required or permitted to be given or delivered to the Holder by the Company shall be delivered in accordance with the notice provision in Section 5.4 of the Purchase Agreement.</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Limitation of Liability</w:t>
      </w:r>
      <w:r>
        <w:rPr>
          <w:rFonts w:ascii="Times New Roman" w:eastAsia="Times New Roman" w:hAnsi="Times New Roman" w:cs="Times New Roman"/>
          <w:b w:val="0"/>
          <w:i w:val="0"/>
          <w:color w:val="000000"/>
          <w:sz w:val="22"/>
          <w:u w:val="none"/>
        </w:rPr>
        <w:t>. No provision hereof, in the absence of any affirmative action by the Holder to exercise this Warrant to purchase Warrant Shares, and no enumeration herein of the rights or privileges of the Holder, shall give rise to any liability of the Holder for the purchase price of any shares of Common Stock or as a stockholder of the Company, whether such liability is asserted by the Company or by creditors of the Company.</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Remedies</w:t>
      </w:r>
      <w:r>
        <w:rPr>
          <w:rFonts w:ascii="Times New Roman" w:eastAsia="Times New Roman" w:hAnsi="Times New Roman" w:cs="Times New Roman"/>
          <w:b w:val="0"/>
          <w:i w:val="0"/>
          <w:color w:val="000000"/>
          <w:sz w:val="22"/>
          <w:u w:val="none"/>
        </w:rPr>
        <w:t>. The Holder, in addition to being entitled to exercise all rights granted by law, including recovery of damages, will be entitled to specific performance of its rights under this Warrant. The Company agrees that monetary damages would not be adequate compensation for any loss incurred by reason of a breach by it of the provisions of this Warrant and hereby agrees to waive and not to assert the defense in any action for specific performance that a remedy at law would be adequate.</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Successors and Assigns</w:t>
      </w:r>
      <w:r>
        <w:rPr>
          <w:rFonts w:ascii="Times New Roman" w:eastAsia="Times New Roman" w:hAnsi="Times New Roman" w:cs="Times New Roman"/>
          <w:b w:val="0"/>
          <w:i w:val="0"/>
          <w:color w:val="000000"/>
          <w:sz w:val="22"/>
          <w:u w:val="none"/>
        </w:rPr>
        <w:t>. Subject to applicable securities laws, this Warrant and the rights and obligations evidenced hereby shall inure to the benefit of and be binding upon the successors and permitted assigns of the Company and the successors and permitted assigns of Holder. The provisions of this Warrant are intended to be for the benefit of any Holder from time to time of this Warrant and shall be enforceable by the Holder.</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Amendment</w:t>
      </w:r>
      <w:r>
        <w:rPr>
          <w:rFonts w:ascii="Times New Roman" w:eastAsia="Times New Roman" w:hAnsi="Times New Roman" w:cs="Times New Roman"/>
          <w:b w:val="0"/>
          <w:i w:val="0"/>
          <w:color w:val="000000"/>
          <w:sz w:val="22"/>
          <w:u w:val="none"/>
        </w:rPr>
        <w:t>. This Warrant may be modified or amended or the provisions hereof waived with the written consent of the Company, on the one hand, and the Holder, on the other hand.</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Severability</w:t>
      </w:r>
      <w:r>
        <w:rPr>
          <w:rFonts w:ascii="Times New Roman" w:eastAsia="Times New Roman" w:hAnsi="Times New Roman" w:cs="Times New Roman"/>
          <w:b w:val="0"/>
          <w:i w:val="0"/>
          <w:color w:val="000000"/>
          <w:sz w:val="22"/>
          <w:u w:val="none"/>
        </w:rPr>
        <w:t>. Wherever possible, each provision of this Warrant shall be interpreted in such manner as to be effective and valid under applicable law, but if any provision of this Warrant shall be prohibited by or invalid under applicable law, such provision shall be ineffective to the extent of such prohibition or invalidity, without invalidating the remainder of such provisions or the remaining provisions of this Warrant.</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Headings</w:t>
      </w:r>
      <w:r>
        <w:rPr>
          <w:rFonts w:ascii="Times New Roman" w:eastAsia="Times New Roman" w:hAnsi="Times New Roman" w:cs="Times New Roman"/>
          <w:b w:val="0"/>
          <w:i w:val="0"/>
          <w:color w:val="000000"/>
          <w:sz w:val="22"/>
          <w:u w:val="none"/>
        </w:rPr>
        <w:t>. The headings used in this Warrant are for the convenience of reference only and shall not, for any purpose, be deemed a part of this Warrant.</w:t>
      </w:r>
    </w:p>
    <w:p>
      <w:pPr>
        <w:pStyle w:val="BodyText-wk"/>
        <w:keepNext w:val="0"/>
        <w:keepLines w:val="0"/>
        <w:pageBreakBefore w:val="0"/>
        <w:widowControl/>
        <w:numPr>
          <w:ilvl w:val="0"/>
          <w:numId w:val="11"/>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Interpretation</w:t>
      </w:r>
      <w:r>
        <w:rPr>
          <w:rFonts w:ascii="Times New Roman" w:eastAsia="Times New Roman" w:hAnsi="Times New Roman" w:cs="Times New Roman"/>
          <w:b w:val="0"/>
          <w:i w:val="0"/>
          <w:color w:val="000000"/>
          <w:sz w:val="22"/>
          <w:u w:val="none"/>
        </w:rPr>
        <w:t>. When a reference is made in this Warrant to a Section, such reference shall be to a Section of this Warrant unless otherwise indicated. Whenever the words “include,” “includes” or “including” are used in this Warrant, they shall be deemed to be followed by the words “without limitation.” The words “hereof,” “herein” and “hereunder” and words of similar import when used in this Warrant shall refer to this Warrant as a whole and not to any particular provision of this Warrant unless the context requires otherwise. The words “date hereof’ when used in this Warrant shall refer to the date of this Warrant. The terms “or,” “any” and “either” are not exclusive. The word “extent” in the phrase “to the extent” shall mean the degree to which a subject or other thing extends, and such phrase shall not mean simply “if.” The word “will” shall be construed to have the same meaning and effect as the word “shall.” All terms defined in this Warrant shall have the defined meanings when used in any document made or delivered pursuant hereto unless otherwise defined therein. The definitions contained in this Warrant are applicable to the singular as well as the plural forms of such terms and to the masculine as well as to the feminine and neuter genders of such term. Any agreement, instrument or statute defined or referred to herein or in any agreement or instrument that is referred to herein means such agreement, instrument or statute as from time to time amended, modified or supplemented, including (in the case of agreements or instruments) by waiver or consent and (in the case of statutes) by succession of comparable successor statutes and references to all attachments thereto and instruments incorporated therein. Unless otherwise specifically indicated, all references to “dollars” or “$” shall refer to, and all payments hereunder shall be made in, the lawful money of the United States. References to a Person are also to its successors and permitted assigns. When calculating the period of time between which, within which or following which any act is to be done or step taken pursuant to this Warrant, the date that is the reference date in calculating such period shall be excluded (and, unless otherwise required by law, if the last day of such period is not a Trading Day, the period in question shall end on the next succeeding Trading Day).</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center"/>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w:t>
      </w:r>
    </w:p>
    <w:p>
      <w:pPr>
        <w:keepNext w:val="0"/>
        <w:keepLines w:val="0"/>
        <w:pageBreakBefore w:val="0"/>
        <w:widowControl/>
        <w:numPr>
          <w:ilvl w:val="0"/>
          <w:numId w:val="0"/>
        </w:numPr>
        <w:spacing w:before="180" w:after="180" w:line="288" w:lineRule="auto"/>
        <w:ind w:left="0" w:right="0" w:firstLine="0"/>
        <w:jc w:val="center"/>
        <w:outlineLvl w:val="9"/>
        <w:rPr>
          <w:rFonts w:ascii="Aptos" w:eastAsia="Aptos" w:hAnsi="Aptos" w:cs="Aptos"/>
          <w:b w:val="0"/>
          <w:i w:val="0"/>
          <w:color w:val="000000"/>
          <w:sz w:val="22"/>
          <w:u w:val="none"/>
        </w:rPr>
      </w:pPr>
    </w:p>
    <w:p>
      <w:pPr>
        <w:pStyle w:val="BodyText-wk"/>
        <w:keepNext w:val="0"/>
        <w:keepLines w:val="0"/>
        <w:pageBreakBefore w:val="0"/>
        <w:widowControl/>
        <w:numPr>
          <w:ilvl w:val="0"/>
          <w:numId w:val="0"/>
        </w:numPr>
        <w:spacing w:before="180" w:after="180" w:line="288" w:lineRule="auto"/>
        <w:ind w:left="0" w:right="0" w:firstLine="0"/>
        <w:jc w:val="center"/>
        <w:outlineLvl w:val="9"/>
        <w:rPr>
          <w:rFonts w:ascii="Aptos" w:eastAsia="Aptos" w:hAnsi="Aptos" w:cs="Aptos"/>
          <w:b w:val="0"/>
          <w:i w:val="0"/>
          <w:color w:val="000000"/>
          <w:sz w:val="24"/>
          <w:u w:val="none"/>
        </w:rPr>
      </w:pPr>
      <w:r>
        <w:rPr>
          <w:rFonts w:ascii="Times New Roman" w:eastAsia="Times New Roman" w:hAnsi="Times New Roman" w:cs="Times New Roman"/>
          <w:b w:val="0"/>
          <w:i/>
          <w:color w:val="000000"/>
          <w:sz w:val="22"/>
          <w:u w:val="none"/>
        </w:rPr>
        <w:t>(Signature Page Follows)</w:t>
      </w:r>
    </w:p>
    <w:p>
      <w:pPr>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2"/>
          <w:u w:val="none"/>
        </w:rPr>
      </w:pP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sectPr>
          <w:headerReference w:type="default" r:id="rId15"/>
          <w:footerReference w:type="default" r:id="rId16"/>
          <w:headerReference w:type="first" r:id="rId17"/>
          <w:footerReference w:type="first" r:id="rId18"/>
          <w:footnotePr>
            <w:numRestart w:val="eachSect"/>
          </w:footnotePr>
          <w:type w:val="nextPage"/>
          <w:pgSz w:w="12240" w:h="15840"/>
          <w:pgMar w:top="1440" w:right="1440" w:bottom="1440" w:left="1440" w:header="720" w:footer="720" w:gutter="0"/>
          <w:pgNumType w:start="1"/>
          <w:cols w:space="720"/>
          <w:titlePg/>
          <w:docGrid w:linePitch="360"/>
        </w:sectPr>
      </w:pPr>
    </w:p>
    <w:p>
      <w:pPr>
        <w:pStyle w:val="BodyText-wk"/>
        <w:keepNext w:val="0"/>
        <w:keepLines w:val="0"/>
        <w:pageBreakBefore w:val="0"/>
        <w:widowControl/>
        <w:numPr>
          <w:ilvl w:val="0"/>
          <w:numId w:val="0"/>
        </w:numPr>
        <w:spacing w:before="0" w:after="180" w:line="288" w:lineRule="auto"/>
        <w:ind w:left="0" w:right="0" w:firstLine="720"/>
        <w:jc w:val="both"/>
        <w:outlineLvl w:val="0"/>
        <w:rPr>
          <w:rFonts w:ascii="Aptos" w:eastAsia="Aptos" w:hAnsi="Aptos" w:cs="Aptos"/>
          <w:b w:val="0"/>
          <w:i w:val="0"/>
          <w:color w:val="000000"/>
          <w:sz w:val="24"/>
          <w:u w:val="none"/>
        </w:rPr>
      </w:pPr>
      <w:bookmarkStart w:id="4" w:name="Section2"/>
      <w:bookmarkEnd w:id="4"/>
      <w:r>
        <w:rPr>
          <w:rFonts w:ascii="Times New Roman" w:eastAsia="Times New Roman" w:hAnsi="Times New Roman" w:cs="Times New Roman"/>
          <w:b w:val="0"/>
          <w:i w:val="0"/>
          <w:color w:val="000000"/>
          <w:sz w:val="22"/>
          <w:u w:val="none"/>
        </w:rPr>
        <w:t>IN WITNESS WHEREOF, the Company has caused this Warrant to be executed by its officer thereunto duly authorized as of the date first above indicated.</w:t>
      </w:r>
    </w:p>
    <w:p>
      <w:pPr>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2"/>
          <w:u w:val="none"/>
        </w:rPr>
      </w:pP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i w:val="0"/>
          <w:color w:val="000000"/>
          <w:sz w:val="22"/>
          <w:u w:val="none"/>
        </w:rPr>
        <w:t>NN, INC.</w:t>
      </w:r>
    </w:p>
    <w:p>
      <w:pPr>
        <w:pStyle w:val="BodyText-wk"/>
        <w:keepNext w:val="0"/>
        <w:keepLines w:val="0"/>
        <w:pageBreakBefore w:val="0"/>
        <w:widowControl/>
        <w:numPr>
          <w:ilvl w:val="0"/>
          <w:numId w:val="0"/>
        </w:numPr>
        <w:spacing w:before="180" w:after="180" w:line="288" w:lineRule="auto"/>
        <w:ind w:left="0" w:right="0" w:firstLine="720"/>
        <w:jc w:val="both"/>
        <w:outlineLvl w:val="9"/>
        <w:rPr>
          <w:rFonts w:ascii="Aptos" w:eastAsia="Aptos" w:hAnsi="Aptos" w:cs="Aptos"/>
          <w:b w:val="0"/>
          <w:i w:val="0"/>
          <w:color w:val="000000"/>
          <w:sz w:val="24"/>
          <w:u w:val="none"/>
        </w:rPr>
      </w:pP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p>
    <w:p>
      <w:pPr>
        <w:pStyle w:val="BodyText-wk"/>
        <w:keepNext w:val="0"/>
        <w:keepLines w:val="0"/>
        <w:pageBreakBefore w:val="0"/>
        <w:widowControl/>
        <w:numPr>
          <w:ilvl w:val="0"/>
          <w:numId w:val="0"/>
        </w:numPr>
        <w:spacing w:before="0" w:after="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By: _________________________</w:t>
      </w:r>
    </w:p>
    <w:p>
      <w:pPr>
        <w:pStyle w:val="BodyText-wk"/>
        <w:keepNext w:val="0"/>
        <w:keepLines w:val="0"/>
        <w:pageBreakBefore w:val="0"/>
        <w:widowControl/>
        <w:numPr>
          <w:ilvl w:val="0"/>
          <w:numId w:val="0"/>
        </w:numPr>
        <w:spacing w:before="0" w:after="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i w:val="0"/>
          <w:color w:val="000000"/>
          <w:sz w:val="22"/>
          <w:u w:val="none"/>
        </w:rPr>
        <w:tab/>
      </w:r>
      <w:r>
        <w:rPr>
          <w:rFonts w:ascii="Times New Roman" w:eastAsia="Times New Roman" w:hAnsi="Times New Roman" w:cs="Times New Roman"/>
          <w:b w:val="0"/>
          <w:i w:val="0"/>
          <w:color w:val="000000"/>
          <w:sz w:val="22"/>
          <w:u w:val="none"/>
        </w:rPr>
        <w:t>Name:</w:t>
      </w:r>
    </w:p>
    <w:p>
      <w:pPr>
        <w:pStyle w:val="BodyText-wk"/>
        <w:keepNext w:val="0"/>
        <w:keepLines w:val="0"/>
        <w:pageBreakBefore w:val="0"/>
        <w:widowControl/>
        <w:numPr>
          <w:ilvl w:val="0"/>
          <w:numId w:val="0"/>
        </w:numPr>
        <w:spacing w:before="0" w:after="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ab/>
      </w:r>
      <w:r>
        <w:rPr>
          <w:rFonts w:ascii="Times New Roman" w:eastAsia="Times New Roman" w:hAnsi="Times New Roman" w:cs="Times New Roman"/>
          <w:b w:val="0"/>
          <w:i w:val="0"/>
          <w:color w:val="000000"/>
          <w:sz w:val="22"/>
          <w:u w:val="none"/>
        </w:rPr>
        <w:t>Title:</w:t>
      </w:r>
    </w:p>
    <w:p>
      <w:pPr>
        <w:keepNext w:val="0"/>
        <w:keepLines w:val="0"/>
        <w:pageBreakBefore w:val="0"/>
        <w:widowControl/>
        <w:numPr>
          <w:ilvl w:val="0"/>
          <w:numId w:val="0"/>
        </w:numPr>
        <w:spacing w:before="0" w:after="0" w:line="288" w:lineRule="auto"/>
        <w:ind w:left="0" w:right="0" w:firstLine="0"/>
        <w:jc w:val="both"/>
        <w:outlineLvl w:val="9"/>
        <w:rPr>
          <w:rFonts w:ascii="Aptos" w:eastAsia="Aptos" w:hAnsi="Aptos" w:cs="Aptos"/>
          <w:b w:val="0"/>
          <w:i w:val="0"/>
          <w:color w:val="000000"/>
          <w:sz w:val="22"/>
          <w:u w:val="none"/>
        </w:rPr>
      </w:pPr>
    </w:p>
    <w:p>
      <w:pPr>
        <w:keepNext w:val="0"/>
        <w:keepLines w:val="0"/>
        <w:pageBreakBefore w:val="0"/>
        <w:widowControl/>
        <w:numPr>
          <w:ilvl w:val="0"/>
          <w:numId w:val="0"/>
        </w:numPr>
        <w:spacing w:before="0" w:after="0" w:line="288" w:lineRule="auto"/>
        <w:ind w:left="0" w:right="0" w:firstLine="0"/>
        <w:jc w:val="both"/>
        <w:outlineLvl w:val="9"/>
        <w:sectPr>
          <w:footnotePr>
            <w:numRestart w:val="eachSect"/>
          </w:footnotePr>
          <w:pgSz w:w="12240" w:h="15840"/>
          <w:pgMar w:top="1440" w:right="1440" w:bottom="1440" w:left="1440" w:header="0" w:footer="0" w:gutter="0"/>
          <w:cols w:space="720"/>
        </w:sectPr>
      </w:pPr>
    </w:p>
    <w:p>
      <w:pPr>
        <w:pStyle w:val="BodyText-wk"/>
        <w:keepNext w:val="0"/>
        <w:keepLines w:val="0"/>
        <w:pageBreakBefore w:val="0"/>
        <w:widowControl/>
        <w:numPr>
          <w:ilvl w:val="0"/>
          <w:numId w:val="0"/>
        </w:numPr>
        <w:spacing w:before="0" w:after="180" w:line="288" w:lineRule="auto"/>
        <w:ind w:left="0" w:right="0" w:firstLine="0"/>
        <w:jc w:val="center"/>
        <w:outlineLvl w:val="0"/>
        <w:rPr>
          <w:rFonts w:ascii="Aptos" w:eastAsia="Aptos" w:hAnsi="Aptos" w:cs="Aptos"/>
          <w:b w:val="0"/>
          <w:i w:val="0"/>
          <w:color w:val="000000"/>
          <w:sz w:val="24"/>
          <w:u w:val="none"/>
        </w:rPr>
      </w:pPr>
      <w:bookmarkStart w:id="5" w:name="Section3"/>
      <w:bookmarkEnd w:id="5"/>
      <w:r>
        <w:rPr>
          <w:rFonts w:ascii="Times New Roman" w:eastAsia="Times New Roman" w:hAnsi="Times New Roman" w:cs="Times New Roman"/>
          <w:b/>
          <w:i w:val="0"/>
          <w:color w:val="000000"/>
          <w:sz w:val="22"/>
          <w:u w:val="none"/>
        </w:rPr>
        <w:t>NOTICE OF EXERCISE</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bl>
      <w:tblPr>
        <w:tblW w:w="6225"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45"/>
        <w:gridCol w:w="5580"/>
      </w:tblGrid>
      <w:tr>
        <w:tblPrEx>
          <w:tblW w:w="6225"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TO:</w:t>
            </w:r>
          </w:p>
        </w:tc>
        <w:tc>
          <w:tcPr>
            <w:tcW w:w="558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i w:val="0"/>
                <w:color w:val="000000"/>
                <w:sz w:val="22"/>
                <w:u w:val="none"/>
              </w:rPr>
              <w:t>NN, INC.</w:t>
            </w:r>
          </w:p>
        </w:tc>
      </w:tr>
    </w:tbl>
    <w:p>
      <w:pPr>
        <w:pStyle w:val="BodyText-wk"/>
        <w:keepNext w:val="0"/>
        <w:keepLines w:val="0"/>
        <w:pageBreakBefore w:val="0"/>
        <w:widowControl/>
        <w:numPr>
          <w:ilvl w:val="0"/>
          <w:numId w:val="12"/>
        </w:numPr>
        <w:spacing w:before="20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undersigned hereby elects to purchase ________ Warrant Shares of the Company pursuant to the terms of the attached Warrant (only if exercised in full), and tenders herewith payment of the exercise price in full, together with all applicable transfer taxes, if any.</w:t>
      </w:r>
    </w:p>
    <w:p>
      <w:pPr>
        <w:pStyle w:val="BodyText-wk"/>
        <w:keepNext w:val="0"/>
        <w:keepLines w:val="0"/>
        <w:pageBreakBefore w:val="0"/>
        <w:widowControl/>
        <w:numPr>
          <w:ilvl w:val="0"/>
          <w:numId w:val="12"/>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Payment shall take the form of (check applicable box):</w:t>
      </w:r>
    </w:p>
    <w:p>
      <w:pPr>
        <w:pStyle w:val="BodyText-wk"/>
        <w:keepNext w:val="0"/>
        <w:keepLines w:val="0"/>
        <w:pageBreakBefore w:val="0"/>
        <w:widowControl/>
        <w:numPr>
          <w:ilvl w:val="0"/>
          <w:numId w:val="0"/>
        </w:numPr>
        <w:spacing w:before="180" w:after="180" w:line="288" w:lineRule="auto"/>
        <w:ind w:left="900" w:right="0" w:firstLine="0"/>
        <w:jc w:val="both"/>
        <w:outlineLvl w:val="9"/>
        <w:rPr>
          <w:rFonts w:ascii="Aptos" w:eastAsia="Aptos" w:hAnsi="Aptos" w:cs="Aptos"/>
          <w:b w:val="0"/>
          <w:i w:val="0"/>
          <w:color w:val="000000"/>
          <w:sz w:val="24"/>
          <w:u w:val="none"/>
        </w:rPr>
      </w:pPr>
      <w:r>
        <w:rPr>
          <w:rFonts w:ascii="Segoe UI Symbol" w:eastAsia="Segoe UI Symbol" w:hAnsi="Segoe UI Symbol" w:cs="Segoe UI Symbol"/>
          <w:b w:val="0"/>
          <w:i w:val="0"/>
          <w:color w:val="000000"/>
          <w:sz w:val="22"/>
          <w:u w:val="none"/>
        </w:rPr>
        <w:t>☐</w:t>
      </w:r>
      <w:r>
        <w:rPr>
          <w:rFonts w:ascii="Times New Roman" w:eastAsia="Times New Roman" w:hAnsi="Times New Roman" w:cs="Times New Roman"/>
          <w:b w:val="0"/>
          <w:i w:val="0"/>
          <w:color w:val="000000"/>
          <w:sz w:val="22"/>
          <w:u w:val="none"/>
        </w:rPr>
        <w:t xml:space="preserve"> in lawful money of the United States; or</w:t>
      </w:r>
    </w:p>
    <w:p>
      <w:pPr>
        <w:pStyle w:val="BodyText-wk"/>
        <w:keepNext w:val="0"/>
        <w:keepLines w:val="0"/>
        <w:pageBreakBefore w:val="0"/>
        <w:widowControl/>
        <w:numPr>
          <w:ilvl w:val="0"/>
          <w:numId w:val="0"/>
        </w:numPr>
        <w:spacing w:before="180" w:after="180" w:line="288" w:lineRule="auto"/>
        <w:ind w:left="900" w:right="0" w:firstLine="0"/>
        <w:jc w:val="both"/>
        <w:outlineLvl w:val="9"/>
        <w:rPr>
          <w:rFonts w:ascii="Aptos" w:eastAsia="Aptos" w:hAnsi="Aptos" w:cs="Aptos"/>
          <w:b w:val="0"/>
          <w:i w:val="0"/>
          <w:color w:val="000000"/>
          <w:sz w:val="24"/>
          <w:u w:val="none"/>
        </w:rPr>
      </w:pPr>
      <w:r>
        <w:rPr>
          <w:rFonts w:ascii="Segoe UI Symbol" w:eastAsia="Segoe UI Symbol" w:hAnsi="Segoe UI Symbol" w:cs="Segoe UI Symbol"/>
          <w:b w:val="0"/>
          <w:i w:val="0"/>
          <w:color w:val="000000"/>
          <w:sz w:val="22"/>
          <w:u w:val="none"/>
        </w:rPr>
        <w:t>☐</w:t>
      </w:r>
      <w:r>
        <w:rPr>
          <w:rFonts w:ascii="Times New Roman" w:eastAsia="Times New Roman" w:hAnsi="Times New Roman" w:cs="Times New Roman"/>
          <w:b w:val="0"/>
          <w:i w:val="0"/>
          <w:color w:val="000000"/>
          <w:sz w:val="22"/>
          <w:u w:val="none"/>
        </w:rPr>
        <w:t xml:space="preserve"> if permitted the cancellation of such number of Warrant Shares as is necessary, in accordance with the formula set forth in subsection 2(c), to exercise this Warrant with respect to the maximum number of Warrant Shares purchasable pursuant to the cashless exercise procedure set forth in subsection 2(c).</w:t>
      </w:r>
    </w:p>
    <w:p>
      <w:pPr>
        <w:pStyle w:val="BodyText-wk"/>
        <w:keepNext w:val="0"/>
        <w:keepLines w:val="0"/>
        <w:pageBreakBefore w:val="0"/>
        <w:widowControl/>
        <w:numPr>
          <w:ilvl w:val="0"/>
          <w:numId w:val="12"/>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Please issue said Warrant Shares in the name of the undersigned or in such other name as is specified below:</w:t>
      </w:r>
    </w:p>
    <w:p>
      <w:pPr>
        <w:pStyle w:val="BodyText-wk"/>
        <w:keepNext w:val="0"/>
        <w:keepLines w:val="0"/>
        <w:pageBreakBefore w:val="0"/>
        <w:widowControl/>
        <w:numPr>
          <w:ilvl w:val="0"/>
          <w:numId w:val="0"/>
        </w:numPr>
        <w:spacing w:before="180" w:after="180" w:line="288" w:lineRule="auto"/>
        <w:ind w:left="36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xml:space="preserve">The Warrant Shares shall be delivered to the following DWAC Account Number: </w:t>
      </w:r>
    </w:p>
    <w:p>
      <w:pPr>
        <w:pStyle w:val="BodyText-wk"/>
        <w:keepNext w:val="0"/>
        <w:keepLines w:val="0"/>
        <w:pageBreakBefore w:val="0"/>
        <w:widowControl/>
        <w:numPr>
          <w:ilvl w:val="0"/>
          <w:numId w:val="0"/>
        </w:numPr>
        <w:spacing w:before="180" w:after="180" w:line="288" w:lineRule="auto"/>
        <w:ind w:left="36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_____________________________________________________________________________</w:t>
      </w:r>
    </w:p>
    <w:p>
      <w:pPr>
        <w:pStyle w:val="BodyText-wk"/>
        <w:keepNext w:val="0"/>
        <w:keepLines w:val="0"/>
        <w:pageBreakBefore w:val="0"/>
        <w:widowControl/>
        <w:numPr>
          <w:ilvl w:val="0"/>
          <w:numId w:val="12"/>
        </w:numPr>
        <w:spacing w:before="180" w:after="180" w:line="288" w:lineRule="auto"/>
        <w:ind w:left="720" w:right="0" w:hanging="36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Accredited Investor. The undersigned is an “accredited investor” as defined in Regulation D promulgated under the Securities Act of 1933, as amended.</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[SIGNATURE OF HOLDER]</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Name of Investing Entity ________________________________________________________________</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color w:val="000000"/>
          <w:sz w:val="22"/>
          <w:u w:val="none"/>
        </w:rPr>
        <w:t>Signature of Authorized Signatory of Investing Entity ___________________________________________</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Name of Authorized Signatory: ___________________________________________________________</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Title of Authorized Signatory: ____________________________________________________________</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Date: ________________________________________________________________________________</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Times New Roman" w:eastAsia="Times New Roman" w:hAnsi="Times New Roman" w:cs="Times New Roman"/>
          <w:b w:val="0"/>
          <w:i w:val="0"/>
          <w:color w:val="000000"/>
          <w:sz w:val="22"/>
          <w:u w:val="none"/>
        </w:rPr>
        <w:sectPr>
          <w:footnotePr>
            <w:numRestart w:val="eachSect"/>
          </w:footnotePr>
          <w:pgSz w:w="12240" w:h="15840"/>
          <w:pgMar w:top="1440" w:right="1440" w:bottom="1440" w:left="1440" w:header="0" w:footer="0" w:gutter="0"/>
          <w:cols w:space="720"/>
        </w:sectPr>
      </w:pPr>
    </w:p>
    <w:p>
      <w:pPr>
        <w:pStyle w:val="BodyText-wk"/>
        <w:keepNext w:val="0"/>
        <w:keepLines w:val="0"/>
        <w:pageBreakBefore w:val="0"/>
        <w:widowControl/>
        <w:numPr>
          <w:ilvl w:val="0"/>
          <w:numId w:val="0"/>
        </w:numPr>
        <w:spacing w:before="0" w:after="180" w:line="288" w:lineRule="auto"/>
        <w:ind w:left="0" w:right="0" w:firstLine="0"/>
        <w:jc w:val="center"/>
        <w:outlineLvl w:val="0"/>
        <w:rPr>
          <w:rFonts w:ascii="Aptos" w:eastAsia="Aptos" w:hAnsi="Aptos" w:cs="Aptos"/>
          <w:b w:val="0"/>
          <w:i w:val="0"/>
          <w:color w:val="000000"/>
          <w:sz w:val="24"/>
          <w:u w:val="none"/>
        </w:rPr>
      </w:pPr>
      <w:bookmarkStart w:id="6" w:name="Section4"/>
      <w:bookmarkEnd w:id="6"/>
      <w:r>
        <w:rPr>
          <w:rFonts w:ascii="Times New Roman" w:eastAsia="Times New Roman" w:hAnsi="Times New Roman" w:cs="Times New Roman"/>
          <w:b/>
          <w:i w:val="0"/>
          <w:color w:val="000000"/>
          <w:sz w:val="22"/>
          <w:u w:val="none"/>
        </w:rPr>
        <w:t>ASSIGNMENT FORM</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color w:val="000000"/>
          <w:sz w:val="22"/>
          <w:u w:val="none"/>
        </w:rPr>
        <w:t>(To assign the foregoing Warrant, execute this form and supply required information. Do not use this form to purchase shares.)</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FOR VALUE RECEIVED, the foregoing Warrant and all rights evidenced thereby are hereby assigned to</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2340"/>
        <w:gridCol w:w="2340"/>
        <w:gridCol w:w="2340"/>
        <w:gridCol w:w="2340"/>
      </w:tblGrid>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Name:</w:t>
            </w: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4680" w:type="dxa"/>
            <w:gridSpan w:val="2"/>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______________________________________ </w:t>
            </w:r>
          </w:p>
        </w:tc>
      </w:tr>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4680" w:type="dxa"/>
            <w:gridSpan w:val="2"/>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(Please Print)</w:t>
            </w:r>
          </w:p>
        </w:tc>
      </w:tr>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Address:</w:t>
            </w: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4680" w:type="dxa"/>
            <w:gridSpan w:val="2"/>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______________________________________</w:t>
            </w:r>
          </w:p>
        </w:tc>
      </w:tr>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4680" w:type="dxa"/>
            <w:gridSpan w:val="2"/>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(Please Print)</w:t>
            </w:r>
          </w:p>
        </w:tc>
      </w:tr>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9360" w:type="dxa"/>
            <w:gridSpan w:val="4"/>
            <w:tcBorders>
              <w:top w:val="nil"/>
              <w:left w:val="nil"/>
              <w:bottom w:val="nil"/>
              <w:right w:val="nil"/>
            </w:tcBorders>
            <w:tcMar>
              <w:top w:w="0" w:type="dxa"/>
              <w:left w:w="53" w:type="dxa"/>
              <w:bottom w:w="0" w:type="dxa"/>
              <w:right w:w="53" w:type="dxa"/>
            </w:tcMar>
            <w:vAlign w:val="top"/>
          </w:tcPr>
          <w:p>
            <w:pPr>
              <w:pStyle w:val="Compact"/>
              <w:pageBreakBefore w:val="0"/>
              <w:numPr>
                <w:ilvl w:val="0"/>
                <w:numId w:val="0"/>
              </w:numPr>
              <w:spacing w:before="43" w:after="36"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Phone Number: __________________________________________________</w:t>
            </w:r>
          </w:p>
          <w:p>
            <w:pPr>
              <w:pStyle w:val="Compact"/>
              <w:pageBreakBefore w:val="0"/>
              <w:numPr>
                <w:ilvl w:val="0"/>
                <w:numId w:val="0"/>
              </w:numPr>
              <w:spacing w:before="36" w:after="20"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c>
      </w:tr>
      <w:tr>
        <w:tblPrEx>
          <w:tblW w:w="9360" w:type="dxa"/>
          <w:tblInd w:w="0" w:type="dxa"/>
          <w:tblLayout w:type="fixed"/>
        </w:tblPrEx>
        <w:trPr>
          <w:cantSplit/>
          <w:trHeight w:hRule="auto" w:val="0"/>
        </w:trPr>
        <w:tc>
          <w:tcPr>
            <w:tcW w:w="7020" w:type="dxa"/>
            <w:gridSpan w:val="3"/>
            <w:tcBorders>
              <w:top w:val="nil"/>
              <w:left w:val="nil"/>
              <w:bottom w:val="nil"/>
              <w:right w:val="nil"/>
            </w:tcBorders>
            <w:tcMar>
              <w:top w:w="0" w:type="dxa"/>
              <w:left w:w="53" w:type="dxa"/>
              <w:bottom w:w="0" w:type="dxa"/>
              <w:right w:w="53" w:type="dxa"/>
            </w:tcMar>
            <w:vAlign w:val="top"/>
          </w:tcPr>
          <w:p>
            <w:pPr>
              <w:pStyle w:val="Compact"/>
              <w:pageBreakBefore w:val="0"/>
              <w:numPr>
                <w:ilvl w:val="0"/>
                <w:numId w:val="0"/>
              </w:numPr>
              <w:spacing w:before="43" w:after="36"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Email Address: _________________________________________________</w:t>
            </w:r>
          </w:p>
          <w:p>
            <w:pPr>
              <w:pStyle w:val="Compact"/>
              <w:pageBreakBefore w:val="0"/>
              <w:numPr>
                <w:ilvl w:val="0"/>
                <w:numId w:val="0"/>
              </w:numPr>
              <w:spacing w:before="36" w:after="20"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4680" w:type="dxa"/>
            <w:gridSpan w:val="2"/>
            <w:tcBorders>
              <w:top w:val="nil"/>
              <w:left w:val="nil"/>
              <w:bottom w:val="nil"/>
              <w:right w:val="nil"/>
            </w:tcBorders>
            <w:tcMar>
              <w:top w:w="0" w:type="dxa"/>
              <w:left w:w="53" w:type="dxa"/>
              <w:bottom w:w="0" w:type="dxa"/>
              <w:right w:w="53" w:type="dxa"/>
            </w:tcMar>
            <w:vAlign w:val="top"/>
          </w:tcPr>
          <w:p>
            <w:pPr>
              <w:pStyle w:val="Compact"/>
              <w:pageBreakBefore w:val="0"/>
              <w:spacing w:before="43" w:after="20" w:line="240" w:lineRule="auto"/>
              <w:ind w:right="55"/>
              <w:jc w:val="both"/>
            </w:pPr>
            <w:r>
              <w:rPr>
                <w:rFonts w:ascii="Times New Roman" w:eastAsia="Times New Roman" w:hAnsi="Times New Roman" w:cs="Times New Roman"/>
                <w:b w:val="0"/>
                <w:i w:val="0"/>
                <w:color w:val="000000"/>
                <w:sz w:val="22"/>
                <w:u w:val="none"/>
              </w:rPr>
              <w:t>Dated: _______________ __, ______</w:t>
            </w: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7020" w:type="dxa"/>
            <w:gridSpan w:val="3"/>
            <w:tcBorders>
              <w:top w:val="nil"/>
              <w:left w:val="nil"/>
              <w:bottom w:val="nil"/>
              <w:right w:val="nil"/>
            </w:tcBorders>
            <w:tcMar>
              <w:top w:w="0" w:type="dxa"/>
              <w:left w:w="53" w:type="dxa"/>
              <w:bottom w:w="0" w:type="dxa"/>
              <w:right w:w="53" w:type="dxa"/>
            </w:tcMar>
            <w:vAlign w:val="top"/>
          </w:tcPr>
          <w:p>
            <w:pPr>
              <w:pStyle w:val="Compact"/>
              <w:pageBreakBefore w:val="0"/>
              <w:numPr>
                <w:ilvl w:val="0"/>
                <w:numId w:val="0"/>
              </w:numPr>
              <w:spacing w:before="43" w:after="36" w:line="288" w:lineRule="auto"/>
              <w:ind w:left="55" w:right="-1276"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Holder’s Signature: _______________________________________________</w:t>
            </w:r>
          </w:p>
          <w:p>
            <w:pPr>
              <w:pStyle w:val="Compact"/>
              <w:pageBreakBefore w:val="0"/>
              <w:numPr>
                <w:ilvl w:val="0"/>
                <w:numId w:val="0"/>
              </w:numPr>
              <w:spacing w:before="36" w:after="20"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c>
        <w:tc>
          <w:tcPr>
            <w:tcW w:w="2340" w:type="dxa"/>
            <w:tcBorders>
              <w:top w:val="nil"/>
              <w:left w:val="nil"/>
              <w:bottom w:val="nil"/>
              <w:right w:val="nil"/>
            </w:tcBorders>
            <w:tcMar>
              <w:top w:w="0" w:type="dxa"/>
              <w:left w:w="0" w:type="dxa"/>
              <w:bottom w:w="0" w:type="dxa"/>
              <w:right w:w="0" w:type="dxa"/>
            </w:tcMar>
            <w:vAlign w:val="bottom"/>
          </w:tcPr>
          <w:p>
            <w:pPr>
              <w:pStyle w:val="Compact"/>
              <w:pageBreakBefore w:val="0"/>
              <w:spacing w:before="0" w:after="0"/>
              <w:rPr>
                <w:rFonts w:ascii="Times New Roman" w:eastAsia="Times New Roman" w:hAnsi="Times New Roman" w:cs="Times New Roman"/>
                <w:sz w:val="22"/>
              </w:rPr>
            </w:pPr>
          </w:p>
        </w:tc>
      </w:tr>
      <w:tr>
        <w:tblPrEx>
          <w:tblW w:w="9360" w:type="dxa"/>
          <w:tblInd w:w="0" w:type="dxa"/>
          <w:tblLayout w:type="fixed"/>
        </w:tblPrEx>
        <w:trPr>
          <w:cantSplit/>
          <w:trHeight w:hRule="auto" w:val="0"/>
        </w:trPr>
        <w:tc>
          <w:tcPr>
            <w:tcW w:w="9360" w:type="dxa"/>
            <w:gridSpan w:val="4"/>
            <w:tcBorders>
              <w:top w:val="nil"/>
              <w:left w:val="nil"/>
              <w:bottom w:val="nil"/>
              <w:right w:val="nil"/>
            </w:tcBorders>
            <w:tcMar>
              <w:top w:w="0" w:type="dxa"/>
              <w:left w:w="53" w:type="dxa"/>
              <w:bottom w:w="0" w:type="dxa"/>
              <w:right w:w="53" w:type="dxa"/>
            </w:tcMar>
            <w:vAlign w:val="top"/>
          </w:tcPr>
          <w:p>
            <w:pPr>
              <w:pStyle w:val="Compact"/>
              <w:pageBreakBefore w:val="0"/>
              <w:numPr>
                <w:ilvl w:val="0"/>
                <w:numId w:val="0"/>
              </w:numPr>
              <w:spacing w:before="43" w:after="36"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Holder’s Address: ________________________________________________</w:t>
            </w:r>
          </w:p>
          <w:p>
            <w:pPr>
              <w:pStyle w:val="Compact"/>
              <w:pageBreakBefore w:val="0"/>
              <w:numPr>
                <w:ilvl w:val="0"/>
                <w:numId w:val="0"/>
              </w:numPr>
              <w:spacing w:before="36" w:after="20" w:line="288" w:lineRule="auto"/>
              <w:ind w:left="55" w:right="55"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tc>
      </w:tr>
    </w:tbl>
    <w:p>
      <w:pPr>
        <w:pStyle w:val="BodyText-wk"/>
        <w:keepNext w:val="0"/>
        <w:keepLines w:val="0"/>
        <w:pageBreakBefore w:val="0"/>
        <w:widowControl/>
        <w:numPr>
          <w:ilvl w:val="0"/>
          <w:numId w:val="0"/>
        </w:numPr>
        <w:spacing w:before="20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pPr>
      <w:r>
        <w:rPr>
          <w:rFonts w:ascii="Times New Roman" w:eastAsia="Times New Roman" w:hAnsi="Times New Roman" w:cs="Times New Roman"/>
          <w:b w:val="0"/>
          <w:i w:val="0"/>
          <w:color w:val="000000"/>
          <w:sz w:val="22"/>
          <w:u w:val="none"/>
        </w:rPr>
        <w:t> </w:t>
      </w:r>
    </w:p>
    <w:p>
      <w:pPr>
        <w:pStyle w:val="BodyText-wk"/>
        <w:keepNext w:val="0"/>
        <w:keepLines w:val="0"/>
        <w:pageBreakBefore w:val="0"/>
        <w:widowControl/>
        <w:numPr>
          <w:ilvl w:val="0"/>
          <w:numId w:val="0"/>
        </w:numPr>
        <w:spacing w:before="180" w:after="180" w:line="288" w:lineRule="auto"/>
        <w:ind w:left="0" w:right="0" w:firstLine="0"/>
        <w:jc w:val="both"/>
        <w:outlineLvl w:val="9"/>
        <w:rPr>
          <w:rFonts w:ascii="Aptos" w:eastAsia="Aptos" w:hAnsi="Aptos" w:cs="Aptos"/>
          <w:b w:val="0"/>
          <w:i w:val="0"/>
          <w:color w:val="000000"/>
          <w:sz w:val="24"/>
          <w:u w:val="none"/>
        </w:rPr>
        <w:sectPr>
          <w:footnotePr>
            <w:numRestart w:val="eachSect"/>
          </w:footnotePr>
          <w:pgSz w:w="12240" w:h="15840"/>
          <w:pgMar w:top="1440" w:right="1440" w:bottom="1440" w:left="1440" w:header="0" w:footer="0" w:gutter="0"/>
          <w:cols w:space="720"/>
        </w:sectPr>
      </w:pPr>
      <w:r>
        <w:rPr>
          <w:rFonts w:ascii="Times New Roman" w:eastAsia="Times New Roman" w:hAnsi="Times New Roman" w:cs="Times New Roman"/>
          <w:b w:val="0"/>
          <w:i w:val="0"/>
          <w:color w:val="000000"/>
          <w:sz w:val="22"/>
          <w:u w:val="none"/>
        </w:rPr>
        <w:t> </w:t>
      </w:r>
    </w:p>
    <w:p>
      <w:pPr>
        <w:jc w:val="right"/>
      </w:pPr>
      <w:r>
        <w:rPr>
          <w:b/>
        </w:rPr>
        <w:t>Exhibit 10.1</w:t>
      </w:r>
    </w:p>
    <w:p/>
    <w:p w:rsidR="00A77B3E">
      <w:pPr>
        <w:keepNext w:val="0"/>
        <w:keepLines w:val="0"/>
        <w:pageBreakBefore w:val="0"/>
        <w:widowControl/>
        <w:numPr>
          <w:ilvl w:val="0"/>
          <w:numId w:val="0"/>
        </w:numPr>
        <w:spacing w:before="0" w:after="0" w:line="288" w:lineRule="auto"/>
        <w:ind w:left="0" w:right="0" w:firstLine="0"/>
        <w:jc w:val="center"/>
        <w:outlineLvl w:val="0"/>
        <w:rPr>
          <w:rFonts w:ascii="Times New Roman" w:eastAsia="Times New Roman" w:hAnsi="Times New Roman" w:cs="Times New Roman"/>
          <w:b w:val="0"/>
          <w:i w:val="0"/>
          <w:sz w:val="20"/>
        </w:rPr>
      </w:pPr>
      <w:bookmarkStart w:id="7" w:name="Section1"/>
      <w:bookmarkEnd w:id="7"/>
      <w:r>
        <w:rPr>
          <w:rFonts w:ascii="Times New Roman" w:eastAsia="Times New Roman" w:hAnsi="Times New Roman" w:cs="Times New Roman"/>
          <w:b/>
          <w:i w:val="0"/>
          <w:sz w:val="20"/>
        </w:rPr>
        <w:t>SECURITIES PURCHASE AGREEMENT</w:t>
      </w:r>
    </w:p>
    <w:p w:rsidR="00A77B3E">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This Securities Purchase Agreement (this “</w:t>
      </w:r>
      <w:r>
        <w:rPr>
          <w:rFonts w:ascii="Times New Roman" w:eastAsia="Times New Roman" w:hAnsi="Times New Roman" w:cs="Times New Roman"/>
          <w:b w:val="0"/>
          <w:i w:val="0"/>
          <w:sz w:val="22"/>
        </w:rPr>
        <w:t>Agreement</w:t>
      </w:r>
      <w:r>
        <w:rPr>
          <w:rFonts w:ascii="Times New Roman" w:eastAsia="Times New Roman" w:hAnsi="Times New Roman" w:cs="Times New Roman"/>
          <w:b w:val="0"/>
          <w:i w:val="0"/>
          <w:sz w:val="22"/>
        </w:rPr>
        <w:t>”) is dated as of October 1, 2026, between NN, Inc., a Delaware corporation (the “</w:t>
      </w:r>
      <w:r>
        <w:rPr>
          <w:rFonts w:ascii="Times New Roman" w:eastAsia="Times New Roman" w:hAnsi="Times New Roman" w:cs="Times New Roman"/>
          <w:b w:val="0"/>
          <w:i w:val="0"/>
          <w:sz w:val="22"/>
        </w:rPr>
        <w:t>Company</w:t>
      </w:r>
      <w:r>
        <w:rPr>
          <w:rFonts w:ascii="Times New Roman" w:eastAsia="Times New Roman" w:hAnsi="Times New Roman" w:cs="Times New Roman"/>
          <w:b w:val="0"/>
          <w:i w:val="0"/>
          <w:sz w:val="22"/>
        </w:rPr>
        <w:t>”), and each purchaser identified on the signature pages hereto (each, including its successors and assigns, a “</w:t>
      </w:r>
      <w:r>
        <w:rPr>
          <w:rFonts w:ascii="Times New Roman" w:eastAsia="Times New Roman" w:hAnsi="Times New Roman" w:cs="Times New Roman"/>
          <w:b w:val="0"/>
          <w:i w:val="0"/>
          <w:sz w:val="22"/>
        </w:rPr>
        <w:t>Purchaser</w:t>
      </w:r>
      <w:r>
        <w:rPr>
          <w:rFonts w:ascii="Times New Roman" w:eastAsia="Times New Roman" w:hAnsi="Times New Roman" w:cs="Times New Roman"/>
          <w:b w:val="0"/>
          <w:i w:val="0"/>
          <w:sz w:val="22"/>
        </w:rPr>
        <w:t>” and collectively, the “</w:t>
      </w:r>
      <w:r>
        <w:rPr>
          <w:rFonts w:ascii="Times New Roman" w:eastAsia="Times New Roman" w:hAnsi="Times New Roman" w:cs="Times New Roman"/>
          <w:b w:val="0"/>
          <w:i w:val="0"/>
          <w:sz w:val="22"/>
        </w:rPr>
        <w:t>Purchasers</w:t>
      </w:r>
      <w:r>
        <w:rPr>
          <w:rFonts w:ascii="Times New Roman" w:eastAsia="Times New Roman" w:hAnsi="Times New Roman" w:cs="Times New Roman"/>
          <w:b w:val="0"/>
          <w:i w:val="0"/>
          <w:sz w:val="22"/>
        </w:rPr>
        <w: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WHEREAS, subject to the terms and conditions set forth in this Agreement and pursuant to an exemption from the registration requirements of Section 5 of the Securities Act contained in Section 4(a)(2) thereof and/or Rule 506 of Regulation D thereunder as to the Shares of Common Stock, and Pre-Funded Warrants (as defined below), the Company desires to issue and sell to each Purchaser, and each Purchaser, severally and not jointly, desires to purchase from the Company, securities of the Company as more fully described in this Agreement.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NOW, THEREFORE, IN CONSIDERATION of the mutual covenants contained in this Agreement, and for other good and valuable consideration the receipt and adequacy of which are hereby acknowledged, the Company and each Purchaser agree as follows:</w:t>
      </w:r>
    </w:p>
    <w:p>
      <w:pPr>
        <w:pStyle w:val="ArticleSection1"/>
        <w:keepNext/>
        <w:keepLines w:val="0"/>
        <w:pageBreakBefore w:val="0"/>
        <w:widowControl/>
        <w:numPr>
          <w:ilvl w:val="0"/>
          <w:numId w:val="13"/>
        </w:numPr>
        <w:spacing w:before="0" w:after="120" w:line="240" w:lineRule="auto"/>
        <w:ind w:left="0" w:right="0" w:firstLine="0"/>
        <w:jc w:val="center"/>
        <w:outlineLvl w:val="9"/>
        <w:rPr>
          <w:rFonts w:ascii="Times New Roman" w:eastAsia="Times New Roman" w:hAnsi="Times New Roman" w:cs="Times New Roman"/>
          <w:b/>
          <w:i w:val="0"/>
          <w:color w:val="000000"/>
          <w:sz w:val="22"/>
          <w:u w:val="none"/>
        </w:rPr>
      </w:pPr>
      <w:r>
        <w:rPr>
          <w:rFonts w:ascii="Times New Roman" w:eastAsia="Times New Roman" w:hAnsi="Times New Roman" w:cs="Times New Roman"/>
          <w:b w:val="0"/>
          <w:i w:val="0"/>
          <w:color w:val="000000"/>
          <w:sz w:val="22"/>
          <w:u w:val="none"/>
        </w:rPr>
        <w:br/>
      </w:r>
      <w:r>
        <w:rPr>
          <w:rFonts w:ascii="Times New Roman" w:eastAsia="Times New Roman" w:hAnsi="Times New Roman" w:cs="Times New Roman"/>
          <w:b w:val="0"/>
          <w:i w:val="0"/>
          <w:color w:val="000000"/>
          <w:sz w:val="22"/>
          <w:u w:val="none"/>
        </w:rPr>
        <w:t>DEFINITIONS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Definitions</w:t>
      </w:r>
      <w:r>
        <w:rPr>
          <w:rFonts w:ascii="Times New Roman" w:eastAsia="Times New Roman" w:hAnsi="Times New Roman" w:cs="Times New Roman"/>
          <w:b w:val="0"/>
          <w:i w:val="0"/>
          <w:color w:val="000000"/>
          <w:sz w:val="22"/>
          <w:u w:val="none"/>
        </w:rPr>
        <w:t>. In addition to the terms defined elsewhere in this Agreement, for all purposes of this Agreement, the following terms have the meanings set forth in this Section 1.1:</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Acquiring Person</w:t>
      </w:r>
      <w:r>
        <w:rPr>
          <w:rFonts w:ascii="Times New Roman" w:eastAsia="Times New Roman" w:hAnsi="Times New Roman" w:cs="Times New Roman"/>
          <w:b w:val="0"/>
          <w:i w:val="0"/>
          <w:sz w:val="22"/>
        </w:rPr>
        <w:t>” shall have the meaning ascribed to such term in Section 4.5.</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Action</w:t>
      </w:r>
      <w:r>
        <w:rPr>
          <w:rFonts w:ascii="Times New Roman" w:eastAsia="Times New Roman" w:hAnsi="Times New Roman" w:cs="Times New Roman"/>
          <w:b w:val="0"/>
          <w:i w:val="0"/>
          <w:sz w:val="22"/>
        </w:rPr>
        <w:t>” shall have the meaning ascribed to such term in Section 3.1(j).</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Affiliate</w:t>
      </w:r>
      <w:r>
        <w:rPr>
          <w:rFonts w:ascii="Times New Roman" w:eastAsia="Times New Roman" w:hAnsi="Times New Roman" w:cs="Times New Roman"/>
          <w:b w:val="0"/>
          <w:i w:val="0"/>
          <w:sz w:val="22"/>
        </w:rPr>
        <w:t>” means any Person that, directly or indirectly through one or more intermediaries, controls or is controlled by or is under common control with a Person as such terms are used in and construed under Rule 405 under the Securities Act.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Board of Directors</w:t>
      </w:r>
      <w:r>
        <w:rPr>
          <w:rFonts w:ascii="Times New Roman" w:eastAsia="Times New Roman" w:hAnsi="Times New Roman" w:cs="Times New Roman"/>
          <w:b w:val="0"/>
          <w:i w:val="0"/>
          <w:sz w:val="22"/>
        </w:rPr>
        <w:t>” means the board of directors of the Company.</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Business Day</w:t>
      </w:r>
      <w:r>
        <w:rPr>
          <w:rFonts w:ascii="Times New Roman" w:eastAsia="Times New Roman" w:hAnsi="Times New Roman" w:cs="Times New Roman"/>
          <w:b w:val="0"/>
          <w:i w:val="0"/>
          <w:sz w:val="22"/>
        </w:rPr>
        <w:t xml:space="preserve">” means any day except any Saturday, any Sunday, any day which is a federal legal holiday in the United States or any day on which banking institutions in the State of New York are authorized or required by law or other governmental action to close;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sz w:val="22"/>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sz w:val="22"/>
        </w:rPr>
        <w:t>, for clarification, commercial banks shall not be deemed to be authorized or required by law to remain closed due to “stay at home”, “shelter-in-place”, “non-essential employee” or any other similar orders or restrictions or the closure of any physical branch locations at the direction of any governmental authority so long as the electronic funds transfer systems (including for wire transfers) of commercial banks in the City of New York generally are open for use by customers on such day.</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Closing</w:t>
      </w:r>
      <w:r>
        <w:rPr>
          <w:rFonts w:ascii="Times New Roman" w:eastAsia="Times New Roman" w:hAnsi="Times New Roman" w:cs="Times New Roman"/>
          <w:b w:val="0"/>
          <w:i w:val="0"/>
          <w:sz w:val="22"/>
        </w:rPr>
        <w:t>” means the closing of the purchase and sale of the Securities pursuant to Section 2.1.</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Closing Date</w:t>
      </w:r>
      <w:r>
        <w:rPr>
          <w:rFonts w:ascii="Times New Roman" w:eastAsia="Times New Roman" w:hAnsi="Times New Roman" w:cs="Times New Roman"/>
          <w:b w:val="0"/>
          <w:i w:val="0"/>
          <w:sz w:val="22"/>
        </w:rPr>
        <w:t>” means the Trading Day on which all of the Transaction Documents have been executed and delivered by the applicable parties thereto, and all conditions precedent to (i) the Purchasers’ obligations to pay the Subscription Amount and (ii) the Company’s obligations to deliver the Securities, in each case, have been satisfied or waived, but (a) in no event earlier than the first Trading Day following the date hereof and (b) in no event later than the fifth Trading Day after the date of this Agreement.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Commission</w:t>
      </w:r>
      <w:r>
        <w:rPr>
          <w:rFonts w:ascii="Times New Roman" w:eastAsia="Times New Roman" w:hAnsi="Times New Roman" w:cs="Times New Roman"/>
          <w:b w:val="0"/>
          <w:i w:val="0"/>
          <w:sz w:val="22"/>
        </w:rPr>
        <w:t>” means the United States Securities and Exchange Commission.</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Common Stock</w:t>
      </w:r>
      <w:r>
        <w:rPr>
          <w:rFonts w:ascii="Times New Roman" w:eastAsia="Times New Roman" w:hAnsi="Times New Roman" w:cs="Times New Roman"/>
          <w:b w:val="0"/>
          <w:i w:val="0"/>
          <w:sz w:val="22"/>
        </w:rPr>
        <w:t>” means the common stock of the Company, par value $0.01 per share.</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Common Stock Equivalents</w:t>
      </w:r>
      <w:r>
        <w:rPr>
          <w:rFonts w:ascii="Times New Roman" w:eastAsia="Times New Roman" w:hAnsi="Times New Roman" w:cs="Times New Roman"/>
          <w:b w:val="0"/>
          <w:i w:val="0"/>
          <w:sz w:val="22"/>
        </w:rPr>
        <w:t>” means any securities of the Company or the Subsidiaries which would entitle the holder thereof to acquire at any time Common Stock, including, without limitation, any debt, preferred shares, right, option, warrant or other instrument that is at any time convertible into or exercisable or exchangeable for, or otherwise entitles the holder thereof to receive, Common Stock.</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Company Counsel</w:t>
      </w:r>
      <w:r>
        <w:rPr>
          <w:rFonts w:ascii="Times New Roman" w:eastAsia="Times New Roman" w:hAnsi="Times New Roman" w:cs="Times New Roman"/>
          <w:b w:val="0"/>
          <w:i w:val="0"/>
          <w:sz w:val="22"/>
        </w:rPr>
        <w:t>” means Dentons US LLP.</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Disclosure Time</w:t>
      </w:r>
      <w:r>
        <w:rPr>
          <w:rFonts w:ascii="Times New Roman" w:eastAsia="Times New Roman" w:hAnsi="Times New Roman" w:cs="Times New Roman"/>
          <w:b w:val="0"/>
          <w:i w:val="0"/>
          <w:sz w:val="22"/>
        </w:rPr>
        <w:t>” means, (i) if this Agreement is signed on a day that is not a Trading Day or after 9:00 a.m. (New York City time) and before midnight (New York City time) on any Trading Day, 9:01 a.m. (New York City time) on the Trading Day immediately following the date hereof, and (ii) if this Agreement is signed between midnight (New York City time) and 9:00 a.m. (New York City time) on any Trading Day, no later than 9:01 a.m. (New York City time) on the date hereof.</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Evaluation Date</w:t>
      </w:r>
      <w:r>
        <w:rPr>
          <w:rFonts w:ascii="Times New Roman" w:eastAsia="Times New Roman" w:hAnsi="Times New Roman" w:cs="Times New Roman"/>
          <w:b w:val="0"/>
          <w:i w:val="0"/>
          <w:sz w:val="22"/>
        </w:rPr>
        <w:t>” shall have the meaning ascribed to such term in Section 3.1(s).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Exchange Act</w:t>
      </w:r>
      <w:r>
        <w:rPr>
          <w:rFonts w:ascii="Times New Roman" w:eastAsia="Times New Roman" w:hAnsi="Times New Roman" w:cs="Times New Roman"/>
          <w:b w:val="0"/>
          <w:i w:val="0"/>
          <w:sz w:val="22"/>
        </w:rPr>
        <w:t>” means the Securities Exchange Act of 1934, as amended, and the rules and regulations promulgated thereunder.</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Exempt Issuance</w:t>
      </w:r>
      <w:r>
        <w:rPr>
          <w:rFonts w:ascii="Times New Roman" w:eastAsia="Times New Roman" w:hAnsi="Times New Roman" w:cs="Times New Roman"/>
          <w:b w:val="0"/>
          <w:i w:val="0"/>
          <w:sz w:val="22"/>
        </w:rPr>
        <w:t>” means the issuance of (a) shares of Common Stock, restricted stock awards, restricted stock unit awards, options or other equity awards (or the issuance of shares of Common Stock upon the exercise or settlement, including any “net” or “cashless” exercises or settlements of any such awards) to employees, consultants, officers or directors of the Company pursuant to any share or option plan or arrangement disclosed in the SEC Reports on the date of this Agreement, (b) the filing by the Company of a registration statement on Form S-8 with respect to any such share or option plan or arrangement, (c) securities exercisable or exchangeable for or convertible into shares of Common Stock issued and outstanding on the date of this Agreement, provided that such securities have not been amended since the date of this Agreement to increase the number of such securities or to decrease the exercise price, exchange price or conversion price of such securities (other than in connection with share splits or combinations) or to extend the term of such securities, (d) any securities in connection with the transactions pursuant to this Agreement and any securities upon the exercise or exchange of or conversion of any securities issued hereunder, and (e) securities issued or agreements to issue securities pursuant to transactions and the payment of contractor invoices in the ordinary course of business approved by a majority of the disinterested directors of the Company, provided that such securities are issued as “restricted securities” (as defined in Rule 144) and carry no registration rights that require or permit the filing of any registration statement in connection therewith during the prohibition period in Section 4.11(a) herein, and provided that any such issuance shall only be to a Person (or to the equityholders of a Person) which is, itself or through its subsidiaries, an operating company or an owner of an asset in a business synergistic with the business of the Company and shall provide to the Company additional benefits in addition to the investment of funds, but shall not include a transaction in which the Company is issuing securities primarily for the purpose of raising capital or to an entity whose primary business is investing in securities.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FCPA</w:t>
      </w:r>
      <w:r>
        <w:rPr>
          <w:rFonts w:ascii="Times New Roman" w:eastAsia="Times New Roman" w:hAnsi="Times New Roman" w:cs="Times New Roman"/>
          <w:b w:val="0"/>
          <w:i w:val="0"/>
          <w:sz w:val="22"/>
        </w:rPr>
        <w:t>” means the Foreign Corrupt Practices Act of 1977, as amended.</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Indebtedness</w:t>
      </w:r>
      <w:r>
        <w:rPr>
          <w:rFonts w:ascii="Times New Roman" w:eastAsia="Times New Roman" w:hAnsi="Times New Roman" w:cs="Times New Roman"/>
          <w:b w:val="0"/>
          <w:i w:val="0"/>
          <w:sz w:val="22"/>
        </w:rPr>
        <w:t>” shall have the meaning ascribed to such term in Section 3.1(aa).</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Intellectual Property Rights</w:t>
      </w:r>
      <w:r>
        <w:rPr>
          <w:rFonts w:ascii="Times New Roman" w:eastAsia="Times New Roman" w:hAnsi="Times New Roman" w:cs="Times New Roman"/>
          <w:b w:val="0"/>
          <w:i w:val="0"/>
          <w:sz w:val="22"/>
        </w:rPr>
        <w:t>” shall have the meaning ascribed to such term in Section 3.1(p).</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Issuer Covered Person</w:t>
      </w:r>
      <w:r>
        <w:rPr>
          <w:rFonts w:ascii="Times New Roman" w:eastAsia="Times New Roman" w:hAnsi="Times New Roman" w:cs="Times New Roman"/>
          <w:b w:val="0"/>
          <w:i w:val="0"/>
          <w:sz w:val="22"/>
        </w:rPr>
        <w:t>” means the Company, any of its predecessors, any affiliated issuer, or, to its knowledge, any director, executive officer, other officer of the Company participating in the offering hereunder, any beneficial owner of 20% or more of the Company’s outstanding voting equity securities, calculated on the basis of voting power, nor any promoter (as that term is defined in Rule 405 under the Securities Act) connected with the Company in any capacity at the time of sale.</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Legend Removal Date</w:t>
      </w:r>
      <w:r>
        <w:rPr>
          <w:rFonts w:ascii="Times New Roman" w:eastAsia="Times New Roman" w:hAnsi="Times New Roman" w:cs="Times New Roman"/>
          <w:b w:val="0"/>
          <w:i w:val="0"/>
          <w:sz w:val="22"/>
        </w:rPr>
        <w:t>” shall have the meaning ascribed to such term in Section 4.1(d).</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Liens</w:t>
      </w:r>
      <w:r>
        <w:rPr>
          <w:rFonts w:ascii="Times New Roman" w:eastAsia="Times New Roman" w:hAnsi="Times New Roman" w:cs="Times New Roman"/>
          <w:b w:val="0"/>
          <w:i w:val="0"/>
          <w:sz w:val="22"/>
        </w:rPr>
        <w:t>” means a lien, charge, pledge, security interest, encumbrance, right of first refusal, preemptive right or other restriction.</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Material Adverse Effect</w:t>
      </w:r>
      <w:r>
        <w:rPr>
          <w:rFonts w:ascii="Times New Roman" w:eastAsia="Times New Roman" w:hAnsi="Times New Roman" w:cs="Times New Roman"/>
          <w:b w:val="0"/>
          <w:i w:val="0"/>
          <w:sz w:val="22"/>
        </w:rPr>
        <w:t>” shall have the meaning assigned to such term in Section 3.1(b).</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Material Permits</w:t>
      </w:r>
      <w:r>
        <w:rPr>
          <w:rFonts w:ascii="Times New Roman" w:eastAsia="Times New Roman" w:hAnsi="Times New Roman" w:cs="Times New Roman"/>
          <w:b w:val="0"/>
          <w:i w:val="0"/>
          <w:sz w:val="22"/>
        </w:rPr>
        <w:t>” shall have the meaning ascribed to such term in Section 3.1(n).</w:t>
      </w:r>
    </w:p>
    <w:p w:rsidR="00A77B3E">
      <w:pPr>
        <w:keepNext w:val="0"/>
        <w:keepLines w:val="0"/>
        <w:pageBreakBefore w:val="0"/>
        <w:widowControl/>
        <w:numPr>
          <w:ilvl w:val="0"/>
          <w:numId w:val="0"/>
        </w:numPr>
        <w:spacing w:before="0" w:after="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Per Pre-Funded Warrant Purchase Price</w:t>
      </w:r>
      <w:r>
        <w:rPr>
          <w:rFonts w:ascii="Times New Roman" w:eastAsia="Times New Roman" w:hAnsi="Times New Roman" w:cs="Times New Roman"/>
          <w:b w:val="0"/>
          <w:i w:val="0"/>
          <w:sz w:val="22"/>
        </w:rPr>
        <w:t>” means $3.29, subject to adjustment for reverse and</w:t>
      </w:r>
    </w:p>
    <w:p w:rsidR="00A77B3E">
      <w:pPr>
        <w:keepNext w:val="0"/>
        <w:keepLines w:val="0"/>
        <w:pageBreakBefore w:val="0"/>
        <w:widowControl/>
        <w:numPr>
          <w:ilvl w:val="0"/>
          <w:numId w:val="0"/>
        </w:numPr>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forward share splits, share dividends, share combinations and other similar transactions of the shares of Common Stock that occur after the date of this Agreement.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Per Share Purchase Price</w:t>
      </w:r>
      <w:r>
        <w:rPr>
          <w:rFonts w:ascii="Times New Roman" w:eastAsia="Times New Roman" w:hAnsi="Times New Roman" w:cs="Times New Roman"/>
          <w:b w:val="0"/>
          <w:i w:val="0"/>
          <w:sz w:val="22"/>
        </w:rPr>
        <w:t>” equals $3.30, subject to adjustment for reverse and forward share splits, share dividends, share combinations and other similar transactions of the shares of Common Stock that occur after the date of this Agreement.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Person</w:t>
      </w:r>
      <w:r>
        <w:rPr>
          <w:rFonts w:ascii="Times New Roman" w:eastAsia="Times New Roman" w:hAnsi="Times New Roman" w:cs="Times New Roman"/>
          <w:b w:val="0"/>
          <w:i w:val="0"/>
          <w:sz w:val="22"/>
        </w:rPr>
        <w:t>” means an individual or corporation, partnership, trust, incorporated or unincorporated association, joint venture, limited liability company, joint stock company, government (or an agency or subdivision thereof) or other entity of any kind.</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Placement Agency Agreement</w:t>
      </w:r>
      <w:r>
        <w:rPr>
          <w:rFonts w:ascii="Times New Roman" w:eastAsia="Times New Roman" w:hAnsi="Times New Roman" w:cs="Times New Roman"/>
          <w:b w:val="0"/>
          <w:i w:val="0"/>
          <w:sz w:val="22"/>
        </w:rPr>
        <w:t>” means that certain placement agency agreement dated as of the date hereof between the Company and the Placement Agent.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Placement Agent</w:t>
      </w:r>
      <w:r>
        <w:rPr>
          <w:rFonts w:ascii="Times New Roman" w:eastAsia="Times New Roman" w:hAnsi="Times New Roman" w:cs="Times New Roman"/>
          <w:b w:val="0"/>
          <w:i w:val="0"/>
          <w:sz w:val="22"/>
        </w:rPr>
        <w:t>” means Lake Street Capital Markets, LLC.</w:t>
      </w:r>
    </w:p>
    <w:p w:rsidR="00A77B3E">
      <w:pPr>
        <w:keepNext w:val="0"/>
        <w:keepLines w:val="0"/>
        <w:pageBreakBefore w:val="0"/>
        <w:widowControl/>
        <w:numPr>
          <w:ilvl w:val="0"/>
          <w:numId w:val="0"/>
        </w:numPr>
        <w:spacing w:before="0" w:after="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Pre-Funded Warrants</w:t>
      </w:r>
      <w:r>
        <w:rPr>
          <w:rFonts w:ascii="Times New Roman" w:eastAsia="Times New Roman" w:hAnsi="Times New Roman" w:cs="Times New Roman"/>
          <w:b w:val="0"/>
          <w:i w:val="0"/>
          <w:sz w:val="22"/>
        </w:rPr>
        <w:t>” means the pre-funded Common Stock purchase warrants delivered to the</w:t>
      </w: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Purchasers at the Closing in accordance with Section 2.2(a) hereof, which Pre-Funded Warrants shall be</w:t>
      </w:r>
    </w:p>
    <w:p w:rsidR="00A77B3E">
      <w:pPr>
        <w:keepNext w:val="0"/>
        <w:keepLines w:val="0"/>
        <w:pageBreakBefore w:val="0"/>
        <w:widowControl/>
        <w:numPr>
          <w:ilvl w:val="0"/>
          <w:numId w:val="0"/>
        </w:numPr>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exercisable immediately and shall expire when exercised in full, in the form of Exhibit A attached hereto.</w:t>
      </w:r>
    </w:p>
    <w:p w:rsidR="00A77B3E">
      <w:pPr>
        <w:keepNext w:val="0"/>
        <w:keepLines w:val="0"/>
        <w:pageBreakBefore w:val="0"/>
        <w:widowControl/>
        <w:numPr>
          <w:ilvl w:val="0"/>
          <w:numId w:val="0"/>
        </w:numPr>
        <w:spacing w:before="0" w:after="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Pre-Funded Warrant Shares</w:t>
      </w:r>
      <w:r>
        <w:rPr>
          <w:rFonts w:ascii="Times New Roman" w:eastAsia="Times New Roman" w:hAnsi="Times New Roman" w:cs="Times New Roman"/>
          <w:b w:val="0"/>
          <w:i w:val="0"/>
          <w:sz w:val="22"/>
        </w:rPr>
        <w:t>” means the shares of Common Stock issuable upon exercise of the</w:t>
      </w:r>
    </w:p>
    <w:p w:rsidR="00A77B3E">
      <w:pPr>
        <w:keepNext w:val="0"/>
        <w:keepLines w:val="0"/>
        <w:pageBreakBefore w:val="0"/>
        <w:widowControl/>
        <w:numPr>
          <w:ilvl w:val="0"/>
          <w:numId w:val="0"/>
        </w:numPr>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Pre-Funded Warrants.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Proceeding</w:t>
      </w:r>
      <w:r>
        <w:rPr>
          <w:rFonts w:ascii="Times New Roman" w:eastAsia="Times New Roman" w:hAnsi="Times New Roman" w:cs="Times New Roman"/>
          <w:b w:val="0"/>
          <w:i w:val="0"/>
          <w:sz w:val="22"/>
        </w:rPr>
        <w:t>” means an action, claim, suit, investigation or proceeding (including, without limitation, an informal investigation or partial proceeding, such as a deposition) pending or, to the Company’s knowledge, threatened in writing against or affecting the Company, any Subsidiary or any of their respective properties before or by any court, arbitrator, governmental or administrative agency or regulatory authority (federal, state, county, local or foreign).</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Purchaser Party</w:t>
      </w:r>
      <w:r>
        <w:rPr>
          <w:rFonts w:ascii="Times New Roman" w:eastAsia="Times New Roman" w:hAnsi="Times New Roman" w:cs="Times New Roman"/>
          <w:b w:val="0"/>
          <w:i w:val="0"/>
          <w:sz w:val="22"/>
        </w:rPr>
        <w:t>” shall have the meaning ascribed to such term in Section 4.8.</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Registration Rights Agreement</w:t>
      </w:r>
      <w:r>
        <w:rPr>
          <w:rFonts w:ascii="Times New Roman" w:eastAsia="Times New Roman" w:hAnsi="Times New Roman" w:cs="Times New Roman"/>
          <w:b w:val="0"/>
          <w:i w:val="0"/>
          <w:sz w:val="22"/>
        </w:rPr>
        <w:t xml:space="preserve">” means the Registration Rights Agreement, dated on or about the date hereof, among the Company and the Purchasers, in the form of </w:t>
      </w:r>
      <w:r>
        <w:rPr>
          <w:rFonts w:ascii="Times New Roman" w:eastAsia="Times New Roman" w:hAnsi="Times New Roman" w:cs="Times New Roman"/>
          <w:b w:val="0"/>
          <w:i w:val="0"/>
          <w:color w:val="000000"/>
          <w:sz w:val="22"/>
          <w:u w:val="single"/>
        </w:rPr>
        <w:t>Exhibit B</w:t>
      </w:r>
      <w:r>
        <w:rPr>
          <w:rFonts w:ascii="Times New Roman" w:eastAsia="Times New Roman" w:hAnsi="Times New Roman" w:cs="Times New Roman"/>
          <w:b w:val="0"/>
          <w:i w:val="0"/>
          <w:sz w:val="22"/>
        </w:rPr>
        <w:t xml:space="preserve"> attached hereto.</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Registration Statement</w:t>
      </w:r>
      <w:r>
        <w:rPr>
          <w:rFonts w:ascii="Times New Roman" w:eastAsia="Times New Roman" w:hAnsi="Times New Roman" w:cs="Times New Roman"/>
          <w:b w:val="0"/>
          <w:i w:val="0"/>
          <w:sz w:val="22"/>
        </w:rPr>
        <w:t>” means a registration statement meeting the requirements set forth in the Registration Rights Agreement and covering the resale by the Purchasers of the Shares and Pre-Funded Warrant Shares.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Required Approvals</w:t>
      </w:r>
      <w:r>
        <w:rPr>
          <w:rFonts w:ascii="Times New Roman" w:eastAsia="Times New Roman" w:hAnsi="Times New Roman" w:cs="Times New Roman"/>
          <w:b w:val="0"/>
          <w:i w:val="0"/>
          <w:sz w:val="22"/>
        </w:rPr>
        <w:t>” shall have the meaning ascribed to such term in Section 3.1(e).</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Rule 144</w:t>
      </w:r>
      <w:r>
        <w:rPr>
          <w:rFonts w:ascii="Times New Roman" w:eastAsia="Times New Roman" w:hAnsi="Times New Roman" w:cs="Times New Roman"/>
          <w:b w:val="0"/>
          <w:i w:val="0"/>
          <w:sz w:val="22"/>
        </w:rPr>
        <w:t>” means Rule 144 promulgated by the Commission pursuant to the Securities Act, as such Rule may be amended or interpreted from time to time, or any similar rule or regulation hereafter adopted by the Commission having substantially the same purpose and effect as such Rule.</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Rule 424</w:t>
      </w:r>
      <w:r>
        <w:rPr>
          <w:rFonts w:ascii="Times New Roman" w:eastAsia="Times New Roman" w:hAnsi="Times New Roman" w:cs="Times New Roman"/>
          <w:b w:val="0"/>
          <w:i w:val="0"/>
          <w:sz w:val="22"/>
        </w:rPr>
        <w:t>” means Rule 424 promulgated by the Commission pursuant to the Securities Act, as such Rule may be amended or interpreted from time to time, or any similar rule or regulation hereafter adopted by the Commission having substantially the same purpose and effect as such Rule.</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SEC Reports</w:t>
      </w:r>
      <w:r>
        <w:rPr>
          <w:rFonts w:ascii="Times New Roman" w:eastAsia="Times New Roman" w:hAnsi="Times New Roman" w:cs="Times New Roman"/>
          <w:b w:val="0"/>
          <w:i w:val="0"/>
          <w:sz w:val="22"/>
        </w:rPr>
        <w:t>” shall have the meaning ascribed to such term in Section 3.1(h).</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Securities</w:t>
      </w:r>
      <w:r>
        <w:rPr>
          <w:rFonts w:ascii="Times New Roman" w:eastAsia="Times New Roman" w:hAnsi="Times New Roman" w:cs="Times New Roman"/>
          <w:b w:val="0"/>
          <w:i w:val="0"/>
          <w:sz w:val="22"/>
        </w:rPr>
        <w:t>” means the Shares and the Pre-Funded Warrants.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Securities Act</w:t>
      </w:r>
      <w:r>
        <w:rPr>
          <w:rFonts w:ascii="Times New Roman" w:eastAsia="Times New Roman" w:hAnsi="Times New Roman" w:cs="Times New Roman"/>
          <w:b w:val="0"/>
          <w:i w:val="0"/>
          <w:sz w:val="22"/>
        </w:rPr>
        <w:t>” means the Securities Act of 1933, as amended, and the rules and regulations promulgated thereunder.</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Shares</w:t>
      </w:r>
      <w:r>
        <w:rPr>
          <w:rFonts w:ascii="Times New Roman" w:eastAsia="Times New Roman" w:hAnsi="Times New Roman" w:cs="Times New Roman"/>
          <w:b w:val="0"/>
          <w:i w:val="0"/>
          <w:sz w:val="22"/>
        </w:rPr>
        <w:t>” means the shares of Common Stock issued or issuable to each Purchaser pursuant to this Agreement.</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Short Sales</w:t>
      </w:r>
      <w:r>
        <w:rPr>
          <w:rFonts w:ascii="Times New Roman" w:eastAsia="Times New Roman" w:hAnsi="Times New Roman" w:cs="Times New Roman"/>
          <w:b w:val="0"/>
          <w:i w:val="0"/>
          <w:sz w:val="22"/>
        </w:rPr>
        <w:t>” means all “short sales” as defined in Rule 200 of Regulation SHO under the Exchange Act (but shall not be deemed to include locating and/or borrowing shares of Common Stock).</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Subscription Amount</w:t>
      </w:r>
      <w:r>
        <w:rPr>
          <w:rFonts w:ascii="Times New Roman" w:eastAsia="Times New Roman" w:hAnsi="Times New Roman" w:cs="Times New Roman"/>
          <w:b w:val="0"/>
          <w:i w:val="0"/>
          <w:sz w:val="22"/>
        </w:rPr>
        <w:t>” means, as to each Purchaser, the aggregate amount to be paid for Shares and/or Pre-Funded Warrants purchased hereunder as specified below such Purchaser’s name on the signature page of this Agreement and next to the heading “Subscription Amount,” in United States dollars and in immediately available funds.</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Subsidiary</w:t>
      </w:r>
      <w:r>
        <w:rPr>
          <w:rFonts w:ascii="Times New Roman" w:eastAsia="Times New Roman" w:hAnsi="Times New Roman" w:cs="Times New Roman"/>
          <w:b w:val="0"/>
          <w:i w:val="0"/>
          <w:sz w:val="22"/>
        </w:rPr>
        <w:t>” means any subsidiary of the Company as set forth in Exhibit 21.1 to the Form 10-K filed by the Company on March 4, 2026 for the year ended December 31, 2025, and any subsidiary subsequently disclosed in the SEC Reports, and shall, where applicable, also include any direct or indirect subsidiary of the Company formed or acquired after the date hereof.</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Trading Day</w:t>
      </w:r>
      <w:r>
        <w:rPr>
          <w:rFonts w:ascii="Times New Roman" w:eastAsia="Times New Roman" w:hAnsi="Times New Roman" w:cs="Times New Roman"/>
          <w:b w:val="0"/>
          <w:i w:val="0"/>
          <w:sz w:val="22"/>
        </w:rPr>
        <w:t>” means a day on which the principal Trading Market is open for trading.</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Trading Market</w:t>
      </w:r>
      <w:r>
        <w:rPr>
          <w:rFonts w:ascii="Times New Roman" w:eastAsia="Times New Roman" w:hAnsi="Times New Roman" w:cs="Times New Roman"/>
          <w:b w:val="0"/>
          <w:i w:val="0"/>
          <w:sz w:val="22"/>
        </w:rPr>
        <w:t>” means any of the following markets or exchanges on which the Common Stock are listed or quoted for trading on the date in question: the NYSE American, the Nasdaq Capital Market, the Nasdaq Global Market, the Nasdaq Global Select Market, the New York Stock Exchange (or any successors to any of the foregoing).</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Transaction Documents</w:t>
      </w:r>
      <w:r>
        <w:rPr>
          <w:rFonts w:ascii="Times New Roman" w:eastAsia="Times New Roman" w:hAnsi="Times New Roman" w:cs="Times New Roman"/>
          <w:b w:val="0"/>
          <w:i w:val="0"/>
          <w:sz w:val="22"/>
        </w:rPr>
        <w:t>” means this Agreement, the Pre-Funded Warrants, the Registration Rights Agreement, the Placement Agency Agreement, all exhibits and schedules thereto and hereto and any other documents or agreements executed in connection with the transactions contemplated hereunder.</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Transfer Agent</w:t>
      </w:r>
      <w:r>
        <w:rPr>
          <w:rFonts w:ascii="Times New Roman" w:eastAsia="Times New Roman" w:hAnsi="Times New Roman" w:cs="Times New Roman"/>
          <w:b w:val="0"/>
          <w:i w:val="0"/>
          <w:sz w:val="22"/>
        </w:rPr>
        <w:t>” means Computershare Trust Company, N.A., and any successor transfer agent of the Company.</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w:t>
      </w:r>
      <w:r>
        <w:rPr>
          <w:rFonts w:ascii="Times New Roman" w:eastAsia="Times New Roman" w:hAnsi="Times New Roman" w:cs="Times New Roman"/>
          <w:b w:val="0"/>
          <w:i w:val="0"/>
          <w:color w:val="000000"/>
          <w:sz w:val="22"/>
          <w:u w:val="single"/>
        </w:rPr>
        <w:t>VWAP</w:t>
      </w:r>
      <w:r>
        <w:rPr>
          <w:rFonts w:ascii="Times New Roman" w:eastAsia="Times New Roman" w:hAnsi="Times New Roman" w:cs="Times New Roman"/>
          <w:b w:val="0"/>
          <w:i w:val="0"/>
          <w:sz w:val="22"/>
        </w:rPr>
        <w:t>” means, for any date, the price determined by the first of the following clauses that applies: (a) if the Common Stock are then listed or quoted on a Trading Market, the daily volume weighted average price of the Common Stock for such date (or the nearest preceding date) on the Trading Market on which the Common Stock are then listed or quoted as reported by Bloomberg L.P. (based on a Trading Day from 9:30 a.m. (New York City time) to 4:02 p.m. (New York City time)), (b) if OTCQB or OTCQX is not a Trading Market, the volume weighted average price of the Common Stock for such date (or the nearest preceding date) on OTCQB or OTCQX as applicable, (c) if the Common Stock are not then listed or quoted for trading on OTCQB or OTCQX and if prices for the Common Stock are then reported on the Pink Open Market (or a similar organization or agency succeeding to its functions of reporting prices), the most recent bid price per share of the Common Stock so reported, or (d) in all other cases, the fair market value of a share of Common Stock as determined by an independent appraiser selected in good faith by the Purchasers of a majority in interest of the Securities then outstanding and reasonably acceptable to the Company, the fees and expenses of which shall be paid by the Company.</w:t>
      </w:r>
    </w:p>
    <w:p>
      <w:pPr>
        <w:pStyle w:val="ArticleSection1"/>
        <w:keepNext/>
        <w:keepLines w:val="0"/>
        <w:pageBreakBefore w:val="0"/>
        <w:widowControl/>
        <w:numPr>
          <w:ilvl w:val="0"/>
          <w:numId w:val="13"/>
        </w:numPr>
        <w:spacing w:before="0" w:after="120" w:line="240" w:lineRule="auto"/>
        <w:ind w:left="0" w:right="0" w:firstLine="0"/>
        <w:jc w:val="center"/>
        <w:outlineLvl w:val="9"/>
        <w:rPr>
          <w:rFonts w:ascii="Times New Roman" w:eastAsia="Times New Roman" w:hAnsi="Times New Roman" w:cs="Times New Roman"/>
          <w:b/>
          <w:i w:val="0"/>
          <w:color w:val="000000"/>
          <w:sz w:val="22"/>
          <w:u w:val="none"/>
        </w:rPr>
      </w:pPr>
      <w:r>
        <w:rPr>
          <w:rFonts w:ascii="Times New Roman" w:eastAsia="Times New Roman" w:hAnsi="Times New Roman" w:cs="Times New Roman"/>
          <w:b w:val="0"/>
          <w:i w:val="0"/>
          <w:color w:val="000000"/>
          <w:sz w:val="22"/>
          <w:u w:val="none"/>
        </w:rPr>
        <w:br/>
      </w:r>
      <w:r>
        <w:rPr>
          <w:rFonts w:ascii="Times New Roman" w:eastAsia="Times New Roman" w:hAnsi="Times New Roman" w:cs="Times New Roman"/>
          <w:b w:val="0"/>
          <w:i w:val="0"/>
          <w:color w:val="000000"/>
          <w:sz w:val="22"/>
          <w:u w:val="none"/>
        </w:rPr>
        <w:t>PURCHASE AND SALE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Closing</w:t>
      </w:r>
      <w:r>
        <w:rPr>
          <w:rFonts w:ascii="Times New Roman" w:eastAsia="Times New Roman" w:hAnsi="Times New Roman" w:cs="Times New Roman"/>
          <w:b w:val="0"/>
          <w:i w:val="0"/>
          <w:color w:val="000000"/>
          <w:sz w:val="22"/>
          <w:u w:val="none"/>
        </w:rPr>
        <w:t xml:space="preserve">. On the Closing Date, upon the terms and subject to the conditions set forth herein, the Company agrees to sell, and the Purchasers, severally and not jointly, agree to purchase, an aggregate of $51,130,000 of Shares (at the Per Share Purchase Price) and Pre-Funded Warrants (at the Per Pre-Funded Warrant Purchase Price) as determined pursuant to Section 2.2(a)(vi); provided however, that, to the extent that any Purchaser determines, in its sole discretion, that such Purchaser (together with such Purchaser’s Affiliates, and any Person acting as a group together with such Purchaser or any of such Purchaser’s Affiliates) would beneficially own in excess of the Beneficial Ownership Limitation, or as such Purchaser may otherwise choose, in lieu of purchasing Shares, such Purchaser may elect to purchase Pre-Funded Warrants in such manner to result in the same aggregate purchase price being paid by such Purchaser to the Company (less, in each case, $0.01 for each Pre-Funded Warrant, as compared to each Share). The “Beneficial Ownership Limitation” shall be 4.99% (or, at the election of any Purchaser, 9.99%) of the number of shares of Common Stock outstanding immediately after giving effect to the issuance of the Shares on the Closing Date. Each Purchaser shall deliver to the Company, via wire transfer, immediately available funds equal to such Purchaser’s Subscription Amount as set forth on the signature page hereto executed by such Purchaser, and the Company shall deliver to each Purchaser its Shares and Pre-Funded Warrants as determined pursuant to Section 2.2, and the Company and each Purchaser shall deliver the other items set forth in Section 2.2 deliverable at the Closing. Upon satisfaction of the covenants and conditions set forth in Sections 2.2 and 2.3, the Closing shall occur at a location as the parties hereto shall mutually agree. </w:t>
      </w:r>
    </w:p>
    <w:p>
      <w:pPr>
        <w:pStyle w:val="ArticleSection2"/>
        <w:keepNext/>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Deliveries</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On or prior to the Closing Date, the Company shall deliver or cause to be delivered to each Purchaser (and, as applicable, the Placement Agent) the following:</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this Agreement duly executed by the Company;</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legal opinions of Company Counsel addressed to each of the Placement Agent and the Purchasers, in a form reasonably acceptable to the Purchasers and the Placement Agent, as applicable;</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Company shall have provided each Purchaser and the Placement Agent with a certificate executed by the Chief Financial Officer of the Company, dated as of such date, certifying that the conditions specified in Section 2.3(b)(i), (ii) and (iv) have been fulfilled;</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 xml:space="preserve">a copy of the irrevocable instructions to the Transfer Agent instructing the Transfer Agent to issue in registered book-entry form the number of Shares equal to such Purchaser’s Subscription Amount applicable to the Shares divided by the Per Share Purchase Price, registered in the name of such Purchaser; </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 xml:space="preserve">wire instructions, on Company letterhead and executed by the Company’s Chief Executive Officer or Chief Financial Officer; </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 xml:space="preserve">in the event that Pre-Funded Warrants are to be issued to a Purchaser, Pre-Funded Warrants registered in the name of such Purchaser to purchase up to a number of shares of Common Stock equal to the portion of such Purchaser’s Subscription Amount applicable to the Pre-Funded Warrants divided by the Per Pre-Funded Warrant Purchase Price, with an unfunded exercise price equal to $0.01 per share, subject to adjustment therein; and </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Registration Rights Agreement duly executed by the Company.</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On or prior to the Closing Date (unless otherwise set forth below), each Purchaser shall deliver or cause to be delivered to the Company, as applicable, the following:</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this Agreement duly executed by such Purchaser;</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Registration Rights Agreement duly executed by such Purchaser; and</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 xml:space="preserve">such Purchaser’s Subscription Amount by wire transfer to the account specified in wire instructions delivered pursuant to Section 2.2(a)(v). </w:t>
      </w:r>
    </w:p>
    <w:p>
      <w:pPr>
        <w:pStyle w:val="ArticleSection2"/>
        <w:keepNext/>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Closing Conditions</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obligations of the Company hereunder in connection with the Closing are subject to the following conditions being met:</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accuracy in all material respects (or, to the extent representations or warranties are qualified by materiality or Material Adverse Effect, in all respects) when made and on the Closing Date of the representations and warranties of the Purchasers contained herein (unless as of a specific date therein in which case they shall be accurate as of such date);</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all obligations, covenants and agreements of each Purchaser required to be performed at or prior to the Closing Date shall have been performed in all material respects; and</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delivery by each Purchaser of the items set forth in Section 2.2(b) of this Agreement.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respective obligations of the Purchasers hereunder in connection with the Closing are subject to the following conditions being met:</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accuracy in all material respects (or, to the extent representations or warranties are qualified by materiality or Material Adverse Effect, in all respects) when made and on the Closing Date of the representations and warranties of the Company contained herein (unless as of a specific date therein in which case they shall be accurate as of such date);</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all obligations, covenants and agreements of the Company required to be performed at or prior to the Closing Date shall have been performed;</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delivery by the Company of the items set forth in Section 2.2(a) of this Agreement;</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there shall have been no Material Adverse Effect with respect to the Company since the date hereof; and</w:t>
      </w:r>
    </w:p>
    <w:p>
      <w:pPr>
        <w:pStyle w:val="ArticleSection4"/>
        <w:keepNext w:val="0"/>
        <w:keepLines w:val="0"/>
        <w:pageBreakBefore w:val="0"/>
        <w:widowControl/>
        <w:numPr>
          <w:ilvl w:val="3"/>
          <w:numId w:val="13"/>
        </w:numPr>
        <w:spacing w:before="0" w:after="120" w:line="240" w:lineRule="auto"/>
        <w:ind w:left="2880" w:right="0" w:hanging="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from the date hereof to the Closing Date, trading in the Common Stock shall not have been suspended by the Commission or the Company’s principal Trading Market, and, at any time prior to the Closing Date, trading in securities generally as reported by Bloomberg L.P. shall not have been suspended or limited, or minimum prices shall not have been established on securities whose trades are reported by such service, or on any Trading Market, nor shall a banking moratorium have been declared either by the United States or New York State authorities nor shall there have occurred any material outbreak or escalation of hostilities or other national or international calamity of such magnitude in its effect on, or any material adverse change in, any financial market which, in each case, in the reasonable judgment of such Purchaser, makes it impracticable or inadvisable to purchase the Shares at the Closing.</w:t>
      </w:r>
    </w:p>
    <w:p>
      <w:pPr>
        <w:pStyle w:val="ArticleSection1"/>
        <w:keepNext/>
        <w:keepLines w:val="0"/>
        <w:pageBreakBefore w:val="0"/>
        <w:widowControl/>
        <w:numPr>
          <w:ilvl w:val="0"/>
          <w:numId w:val="13"/>
        </w:numPr>
        <w:spacing w:before="0" w:after="120" w:line="240" w:lineRule="auto"/>
        <w:ind w:left="0" w:right="0" w:firstLine="0"/>
        <w:jc w:val="center"/>
        <w:outlineLvl w:val="9"/>
        <w:rPr>
          <w:rFonts w:ascii="Times New Roman" w:eastAsia="Times New Roman" w:hAnsi="Times New Roman" w:cs="Times New Roman"/>
          <w:b/>
          <w:i w:val="0"/>
          <w:color w:val="000000"/>
          <w:sz w:val="22"/>
          <w:u w:val="none"/>
        </w:rPr>
      </w:pPr>
      <w:r>
        <w:rPr>
          <w:rFonts w:ascii="Times New Roman" w:eastAsia="Times New Roman" w:hAnsi="Times New Roman" w:cs="Times New Roman"/>
          <w:b w:val="0"/>
          <w:i w:val="0"/>
          <w:color w:val="000000"/>
          <w:sz w:val="22"/>
          <w:u w:val="none"/>
        </w:rPr>
        <w:br/>
      </w:r>
      <w:r>
        <w:rPr>
          <w:rFonts w:ascii="Times New Roman" w:eastAsia="Times New Roman" w:hAnsi="Times New Roman" w:cs="Times New Roman"/>
          <w:b w:val="0"/>
          <w:i w:val="0"/>
          <w:color w:val="000000"/>
          <w:sz w:val="22"/>
          <w:u w:val="none"/>
        </w:rPr>
        <w:t>REPRESENTATIONS AND WARRANTIES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Representations and Warranties of the Company</w:t>
      </w:r>
      <w:r>
        <w:rPr>
          <w:rFonts w:ascii="Times New Roman" w:eastAsia="Times New Roman" w:hAnsi="Times New Roman" w:cs="Times New Roman"/>
          <w:b w:val="0"/>
          <w:i w:val="0"/>
          <w:color w:val="000000"/>
          <w:sz w:val="22"/>
          <w:u w:val="none"/>
        </w:rPr>
        <w:t>. Except as set forth in the SEC Reports, which SEC Reports shall be deemed a part hereof and shall qualify any representation or warranty otherwise made herein to the extent of the disclosure contained in the SEC Reports, the Company hereby makes the following representations and warranties to each Purchaser:</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Subsidiaries</w:t>
      </w:r>
      <w:r>
        <w:rPr>
          <w:rFonts w:ascii="Times New Roman" w:eastAsia="Times New Roman" w:hAnsi="Times New Roman" w:cs="Times New Roman"/>
          <w:b w:val="0"/>
          <w:i w:val="0"/>
          <w:color w:val="000000"/>
          <w:sz w:val="22"/>
          <w:u w:val="none"/>
        </w:rPr>
        <w:t xml:space="preserve">. All of the direct and indirect subsidiaries of the Company are set forth on the SEC Reports. Except as disclosed in the SEC Reports, the Company owns, directly or indirectly, all of the capital share or other equity interests of each Subsidiary free and clear of any Liens, and all of the issued and outstanding shares of capital stock of each Subsidiary are validly issued and are fully paid, non-assessable and free of preemptive and similar rights to subscribe for or purchase securities. </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Organization and Qualification</w:t>
      </w:r>
      <w:r>
        <w:rPr>
          <w:rFonts w:ascii="Times New Roman" w:eastAsia="Times New Roman" w:hAnsi="Times New Roman" w:cs="Times New Roman"/>
          <w:b w:val="0"/>
          <w:i w:val="0"/>
          <w:color w:val="000000"/>
          <w:sz w:val="22"/>
          <w:u w:val="none"/>
        </w:rPr>
        <w:t>. The Company and each of the Subsidiaries is an entity duly incorporated or otherwise organized, validly existing and in good standing under the laws of the jurisdiction of its incorporation or organization, with the requisite power and authority to own and use its properties and assets and to carry on its business as currently conducted, except as would not, individually or in the aggregate, reasonably be expected to have a Material Adverse Effect. Neither the Company nor any Subsidiary is in violation nor default of any of the provisions of its respective certificate or articles of incorporation or other organizational or charter documents. Each of the Company and the Subsidiaries is duly qualified to conduct business and is in good standing as a foreign corporation or other entity in each jurisdiction in which the nature of the business conducted or property owned by it makes such qualification necessary, except where the failure to be so qualified or in good standing, as the case may be, would not have or reasonably be expected to result in: (i) a material adverse effect on the legality, validity or enforceability of any Transaction Document, (ii) a material adverse effect on the results of operations, assets, business, or condition (financial or otherwise) of the Company and the Subsidiaries, taken as a whole, or (iii) a material adverse effect on the Company’s ability to perform in any material respect on a timely basis its obligations under any Transaction Document (any of (i), (ii) or (iii), a “</w:t>
      </w:r>
      <w:r>
        <w:rPr>
          <w:rFonts w:ascii="Times New Roman" w:eastAsia="Times New Roman" w:hAnsi="Times New Roman" w:cs="Times New Roman"/>
          <w:b w:val="0"/>
          <w:i w:val="0"/>
          <w:color w:val="000000"/>
          <w:sz w:val="22"/>
          <w:u w:val="single"/>
        </w:rPr>
        <w:t>Material Adverse Effect</w:t>
      </w:r>
      <w:r>
        <w:rPr>
          <w:rFonts w:ascii="Times New Roman" w:eastAsia="Times New Roman" w:hAnsi="Times New Roman" w:cs="Times New Roman"/>
          <w:b w:val="0"/>
          <w:i w:val="0"/>
          <w:color w:val="000000"/>
          <w:sz w:val="22"/>
          <w:u w:val="none"/>
        </w:rPr>
        <w:t xml:space="preserve">”); provided that a change in the market price or trading volume of the Common Stock alone shall not be deemed, in and of itself, to constitute a Material Adverse Effect. To the Company’s knowledge, no Proceeding has been instituted in any such jurisdiction revoking, limiting or curtailing or seeking to revoke, limit or curtail such power and authority or qualification. </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Authorization; Enforcement</w:t>
      </w:r>
      <w:r>
        <w:rPr>
          <w:rFonts w:ascii="Times New Roman" w:eastAsia="Times New Roman" w:hAnsi="Times New Roman" w:cs="Times New Roman"/>
          <w:b w:val="0"/>
          <w:i w:val="0"/>
          <w:color w:val="000000"/>
          <w:sz w:val="22"/>
          <w:u w:val="none"/>
        </w:rPr>
        <w:t>. The Company has the requisite corporate power and authority to enter into and to consummate the transactions contemplated by this Agreement and each of the other Transaction Documents and otherwise to carry out its obligations hereunder and thereunder. The execution and delivery of this Agreement and each of the other Transaction Documents by the Company and the consummation by it of the transactions contemplated hereby and thereby have been duly authorized by all necessary action on the part of the Company and no further action is required by the Company, the Board of Directors or the Company’s shareholders in connection herewith or therewith other than in connection with the Required Approvals. This Agreement and each other Transaction Document to which it is a party has been (or upon delivery will have been) duly executed by the Company and, when delivered in accordance with the terms hereof and thereof, will constitute the valid and binding obligation of the Company enforceable against the Company in accordance with its terms, except (i) as limited by general equitable principles and applicable bankruptcy, insolvency, reorganization, moratorium and other laws of general application affecting enforcement of creditors’ rights generally, (ii) as limited by laws relating to the availability of specific performance, injunctive relief or other equitable remedies and (iii) insofar as indemnification and contribution provisions may be limited by applicable law.</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Conflicts</w:t>
      </w:r>
      <w:r>
        <w:rPr>
          <w:rFonts w:ascii="Times New Roman" w:eastAsia="Times New Roman" w:hAnsi="Times New Roman" w:cs="Times New Roman"/>
          <w:b w:val="0"/>
          <w:i w:val="0"/>
          <w:color w:val="000000"/>
          <w:sz w:val="22"/>
          <w:u w:val="none"/>
        </w:rPr>
        <w:t>. The execution, delivery and performance by the Company of this Agreement and the other Transaction Documents to which it is a party, the issuance and sale of the Securities and the consummation by it of the transactions contemplated hereby and thereby do not and will not (i) conflict with or violate any provision of the Company’s or any Subsidiary’s certificate or articles of incorporation or other organizational or charter documents, or (ii) conflict with, or constitute a default (or an event that with notice or lapse of time or both would become a default) under, result in the creation of any Lien upon any of the properties or assets of the Company or any Subsidiary, or give to others any rights of termination, amendment, anti-dilution or similar adjustments, acceleration or cancellation (with or without notice, lapse of time or both) of, any agreement, credit facility, debt or other instrument (evidencing a Company or Subsidiary debt or otherwise) or other understanding to which the Company or any Subsidiary is a party or by which any property or asset of the Company or any Subsidiary is bound or affected, or (iii) subject to the Required Approvals, conflict with or result in a violation of any law, rule, regulation, order, judgment, injunction, decree or other restriction of any court or governmental authority to which the Company or a Subsidiary is subject (including federal and state securities laws and regulations), or by which any property or asset of the Company or a Subsidiary is bound or affected; except in the case of each of clauses (ii) and (iii), such as would not have or reasonably be expected to result in a Material Adverse Effect.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Filings, Consents and Approvals</w:t>
      </w:r>
      <w:r>
        <w:rPr>
          <w:rFonts w:ascii="Times New Roman" w:eastAsia="Times New Roman" w:hAnsi="Times New Roman" w:cs="Times New Roman"/>
          <w:b w:val="0"/>
          <w:i w:val="0"/>
          <w:color w:val="000000"/>
          <w:sz w:val="22"/>
          <w:u w:val="none"/>
        </w:rPr>
        <w:t>. The Company is not required to obtain any consent, waiver, authorization or order of, give any notice to, or make any filing or registration with, any court or other federal, state, local or other governmental authority or other Person in connection with the execution, delivery and performance by the Company of the Transaction Documents, other than: (i) the filings required pursuant to Section 4.4 of this Agreement, (ii) the filing with the Commission of the Registration Statement pursuant to the Registration Rights Agreement, (iii) application(s) to each applicable Trading Market for the listing of the Shares or Pre-Funded Warrant Shares for trading thereon in the time and manner required thereby, and (iv) the filing of Form D with the Commission and such filings as are required to be made under applicable state securities laws (collectively, the “</w:t>
      </w:r>
      <w:r>
        <w:rPr>
          <w:rFonts w:ascii="Times New Roman" w:eastAsia="Times New Roman" w:hAnsi="Times New Roman" w:cs="Times New Roman"/>
          <w:b w:val="0"/>
          <w:i w:val="0"/>
          <w:color w:val="000000"/>
          <w:sz w:val="22"/>
          <w:u w:val="single"/>
        </w:rPr>
        <w:t>Required Approvals</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Issuance of the Securities; Registration</w:t>
      </w:r>
      <w:r>
        <w:rPr>
          <w:rFonts w:ascii="Times New Roman" w:eastAsia="Times New Roman" w:hAnsi="Times New Roman" w:cs="Times New Roman"/>
          <w:b w:val="0"/>
          <w:i w:val="0"/>
          <w:color w:val="000000"/>
          <w:sz w:val="22"/>
          <w:u w:val="none"/>
        </w:rPr>
        <w:t>. The Securities are duly authorized and, when issued and paid for in accordance with the applicable Transaction Documents, will be duly and validly issued, fully paid and nonassessable, free and clear of all Liens imposed by the Company other than restrictions on transfer provided for in the Transaction Documents. The Pre-Funded Warrant Shares, when issued in accordance with the terms of the applicable Pre-Funded Warrants, will be issued, fully paid and nonassessable, free and clear of all Liens imposed by the Company other than restrictions on transfer provided for in the Transaction Documents. The Company has reserved from its duly authorized capital shares the maximum number of shares of Common Stock issuable pursuant to this Agreement.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Capitalization</w:t>
      </w:r>
      <w:r>
        <w:rPr>
          <w:rFonts w:ascii="Times New Roman" w:eastAsia="Times New Roman" w:hAnsi="Times New Roman" w:cs="Times New Roman"/>
          <w:b w:val="0"/>
          <w:i w:val="0"/>
          <w:color w:val="000000"/>
          <w:sz w:val="22"/>
          <w:u w:val="none"/>
        </w:rPr>
        <w:t>. The Company’s disclosure of its authorized, issued and outstanding capital stock in the SEC Reports containing such disclosure was accurate in all material respects as of the date indicated in such SEC Reports. The Company has not issued any capital shares since its most recently filed periodic report under the Exchange Act, other than pursuant to the exercise of employee share options under the Company’s share option plans, the issuance of shares of Common Stock or Common Stock Equivalents to employees, consultants and directors pursuant to the Company’s equity incentive plans and pursuant to the conversion and/or exercise of Common Stock Equivalents outstanding as of the date of the most recently filed periodic report under the Exchange Act. Except as a result of the purchase and sale of the Securities and as set forth in the SEC Reports, there are no outstanding options, warrants, scrip rights to subscribe to, calls or commitments of any character whatsoever relating to, or securities, rights or obligations convertible into or exercisable or exchangeable for, or giving any Person any right to subscribe for or acquire, any shares of Common Stock or the capital share of any Subsidiary, or contracts, commitments, understandings or arrangements by which the Company or any Subsidiary is or may become bound to issue additional shares of Common Stock or Common Stock Equivalents or capital shares of any Subsidiary. Except as set forth in the SEC Reports, there are no outstanding securities or instruments of the Company or any Subsidiary with any provision that adjusts the exercise, conversion, exchange or reset price of such security or instrument upon an issuance of securities by the Company or any Subsidiary. Except as set forth in the SEC Reports</w:t>
      </w:r>
      <w:r>
        <w:rPr>
          <w:rFonts w:ascii="Times New Roman" w:eastAsia="Times New Roman" w:hAnsi="Times New Roman" w:cs="Times New Roman"/>
          <w:b w:val="0"/>
          <w:i w:val="0"/>
          <w:color w:val="000000"/>
          <w:sz w:val="22"/>
          <w:u w:val="single"/>
        </w:rPr>
        <w:t>,</w:t>
      </w:r>
      <w:r>
        <w:rPr>
          <w:rFonts w:ascii="Times New Roman" w:eastAsia="Times New Roman" w:hAnsi="Times New Roman" w:cs="Times New Roman"/>
          <w:b w:val="0"/>
          <w:i w:val="0"/>
          <w:color w:val="000000"/>
          <w:sz w:val="22"/>
          <w:u w:val="none"/>
        </w:rPr>
        <w:t xml:space="preserve"> there are no outstanding securities or instruments of the Company or any Subsidiary that contain any redemption or similar provisions, and there are no contracts, commitments, understandings or arrangements by which the Company or any Subsidiary is or may become bound to redeem a security of the Company or such Subsidiary. Except as set forth in the SEC Reports</w:t>
      </w:r>
      <w:r>
        <w:rPr>
          <w:rFonts w:ascii="Times New Roman" w:eastAsia="Times New Roman" w:hAnsi="Times New Roman" w:cs="Times New Roman"/>
          <w:b w:val="0"/>
          <w:i w:val="0"/>
          <w:color w:val="000000"/>
          <w:sz w:val="22"/>
          <w:u w:val="single"/>
        </w:rPr>
        <w:t>,</w:t>
      </w:r>
      <w:r>
        <w:rPr>
          <w:rFonts w:ascii="Times New Roman" w:eastAsia="Times New Roman" w:hAnsi="Times New Roman" w:cs="Times New Roman"/>
          <w:b w:val="0"/>
          <w:i w:val="0"/>
          <w:color w:val="000000"/>
          <w:sz w:val="22"/>
          <w:u w:val="none"/>
        </w:rPr>
        <w:t xml:space="preserve"> the Company does not have any share appreciation rights or “phantom stock” plans or agreements or any similar plan or agreement. All of the outstanding capital shares of the Company are duly authorized, validly issued, fully paid and nonassessable, have been issued in compliance with all applicable federal and state securities laws, and none of such outstanding shares was issued in violation of any preemptive rights or similar rights to subscribe for or purchase securities. Except for the Required Approvals, no further approval or authorization of any shareholder, the Board of Directors or others is required for the issuance and sale of the Securities. There are no shareholders agreements, voting agreements or other similar agreements with respect to the Company’s capital shares to which the Company is a party or, to the knowledge of the Company, between or among any of the Company’s shareholders.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SEC Reports; Financial Statements</w:t>
      </w:r>
      <w:r>
        <w:rPr>
          <w:rFonts w:ascii="Times New Roman" w:eastAsia="Times New Roman" w:hAnsi="Times New Roman" w:cs="Times New Roman"/>
          <w:b w:val="0"/>
          <w:i w:val="0"/>
          <w:color w:val="000000"/>
          <w:sz w:val="22"/>
          <w:u w:val="none"/>
        </w:rPr>
        <w:t>. Except as disclosed in the SEC Reports, the Company has filed all reports, schedules, forms, statements and other documents required to be filed by the Company under the Securities Act and Exchange Act, including pursuant to Section 13(a) or 15(d) thereof, for the two years preceding the date hereof (or such shorter period as the Company was required by law or regulation to file such material) (the foregoing materials, including the exhibits thereto and documents incorporated by reference therein being collectively referred to herein as the “</w:t>
      </w:r>
      <w:r>
        <w:rPr>
          <w:rFonts w:ascii="Times New Roman" w:eastAsia="Times New Roman" w:hAnsi="Times New Roman" w:cs="Times New Roman"/>
          <w:b w:val="0"/>
          <w:i w:val="0"/>
          <w:color w:val="000000"/>
          <w:sz w:val="22"/>
          <w:u w:val="single"/>
        </w:rPr>
        <w:t>SEC Reports</w:t>
      </w:r>
      <w:r>
        <w:rPr>
          <w:rFonts w:ascii="Times New Roman" w:eastAsia="Times New Roman" w:hAnsi="Times New Roman" w:cs="Times New Roman"/>
          <w:b w:val="0"/>
          <w:i w:val="0"/>
          <w:color w:val="000000"/>
          <w:sz w:val="22"/>
          <w:u w:val="none"/>
        </w:rPr>
        <w:t>”) on a timely basis or has received a valid extension of such time of filing and has filed any such SEC Reports prior to the expiration of any such extension. As of their respective dates, the SEC Reports complied in all material respects with the requirements of the Securities Act and the Exchange Act, as applicable, and none of the SEC Reports, when filed, contained any untrue statement of a material fact or omitted to state a material fact required to be stated therein or necessary in order to make the statements therein, in the light of the circumstances under which they were made, not misleading. The Company has never been an issuer subject to Rule 144(i) under the Securities Act. The financial statements of the Company included in the SEC Reports complied in all material respects with applicable accounting requirements and the rules and regulations of the Commission with respect thereto as in effect at the time of filing. Such financial statements have been prepared in accordance with U.S. generally accepted accounting principles applied on a consistent basis during the periods involved (“</w:t>
      </w:r>
      <w:r>
        <w:rPr>
          <w:rFonts w:ascii="Times New Roman" w:eastAsia="Times New Roman" w:hAnsi="Times New Roman" w:cs="Times New Roman"/>
          <w:b w:val="0"/>
          <w:i w:val="0"/>
          <w:color w:val="000000"/>
          <w:sz w:val="22"/>
          <w:u w:val="single"/>
        </w:rPr>
        <w:t>GAAP</w:t>
      </w:r>
      <w:r>
        <w:rPr>
          <w:rFonts w:ascii="Times New Roman" w:eastAsia="Times New Roman" w:hAnsi="Times New Roman" w:cs="Times New Roman"/>
          <w:b w:val="0"/>
          <w:i w:val="0"/>
          <w:color w:val="000000"/>
          <w:sz w:val="22"/>
          <w:u w:val="none"/>
        </w:rPr>
        <w:t>”), except as may be otherwise specified in such financial statements or the notes thereto and except that unaudited financial statements may not contain all footnotes required by GAAP, and fairly present in all material respects the financial position of the Company and its consolidated Subsidiaries as of and for the dates thereof and the results of operations and cash flows for the periods then ended, subject, in the case of unaudited statements, to normal, immaterial, year-end audit adjustments.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Material Changes; Undisclosed Events, Liabilities or Developments</w:t>
      </w:r>
      <w:r>
        <w:rPr>
          <w:rFonts w:ascii="Times New Roman" w:eastAsia="Times New Roman" w:hAnsi="Times New Roman" w:cs="Times New Roman"/>
          <w:b w:val="0"/>
          <w:i w:val="0"/>
          <w:color w:val="000000"/>
          <w:sz w:val="22"/>
          <w:u w:val="none"/>
        </w:rPr>
        <w:t>. Since the date of the latest audited financial statements included within the SEC Reports, except as set forth in the SEC Reports, (i) there has been no event, occurrence or development that has had or that would reasonably be expected to result in a Material Adverse Effect, (ii) the Company has not incurred any material liabilities (contingent or otherwise) other than (A) trade payables and accrued expenses incurred in the ordinary course of business consistent with past practice and (B) liabilities not required to be reflected in the Company’s financial statements pursuant to GAAP or disclosed in filings made with the Commission, (iii) the Company has not altered its method of accounting, (iv) the Company has not declared or made any dividend or distribution of cash or other property to its shareholders or purchased, redeemed or made any agreements to purchase or redeem any shares of its capital shares and (v) the Company has not issued any equity securities to any officer, director or Affiliate, except pursuant to the Company’s equity incentive plan disclosed in the SEC Reports. The Company does not have pending before the Commission any request for confidential treatment of information. Except for the issuance of the Securities contemplated by this Agreement, no event, liability, fact, circumstance, occurrence or development has occurred or exists or is reasonably expected to occur or exist with respect to the Company or its Subsidiaries or their respective businesses, prospects, properties, operations, assets or financial condition that would be required to be disclosed by the Company under applicable securities laws at the time this representation is made or deemed made that has not been publicly disclosed at least one (1) Trading Day prior to the date that this representation is made.</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Litigation</w:t>
      </w:r>
      <w:r>
        <w:rPr>
          <w:rFonts w:ascii="Times New Roman" w:eastAsia="Times New Roman" w:hAnsi="Times New Roman" w:cs="Times New Roman"/>
          <w:b w:val="0"/>
          <w:i w:val="0"/>
          <w:color w:val="000000"/>
          <w:sz w:val="22"/>
          <w:u w:val="none"/>
        </w:rPr>
        <w:t>. Except as reported in the SEC Reports, there is no material action, suit, inquiry, notice of violation, proceeding or investigation pending or, to the knowledge of the Company, threatened against or affecting the Company, any Subsidiary or any of their respective properties before or by any court, arbitrator, governmental or administrative agency or regulatory authority (federal, state, county, local or foreign) (collectively, an “</w:t>
      </w:r>
      <w:r>
        <w:rPr>
          <w:rFonts w:ascii="Times New Roman" w:eastAsia="Times New Roman" w:hAnsi="Times New Roman" w:cs="Times New Roman"/>
          <w:b w:val="0"/>
          <w:i w:val="0"/>
          <w:color w:val="000000"/>
          <w:sz w:val="22"/>
          <w:u w:val="single"/>
        </w:rPr>
        <w:t>Action</w:t>
      </w:r>
      <w:r>
        <w:rPr>
          <w:rFonts w:ascii="Times New Roman" w:eastAsia="Times New Roman" w:hAnsi="Times New Roman" w:cs="Times New Roman"/>
          <w:b w:val="0"/>
          <w:i w:val="0"/>
          <w:color w:val="000000"/>
          <w:sz w:val="22"/>
          <w:u w:val="none"/>
        </w:rPr>
        <w:t>”). None of the Actions set forth in the SEC Reports (i) adversely affects or challenges the legality, validity or enforceability of any of the Transaction Documents or the Securities or (ii) would, if there were an unfavorable decision, have or reasonably be expected to result in a Material Adverse Effect. Neither the Company nor any Subsidiary, nor, to the Company’s knowledge, any director or officer thereof, is or has been the subject of any Action involving a claim of violation of or liability under federal or state securities laws or a claim of breach of fiduciary duty, which would reasonably be expected to result in a Material Adverse Effect. There has not been, and to the knowledge of the Company, there is not pending or contemplated, any investigation by the Commission involving the Company or any current or former director or officer of the Company. The Commission has not issued any stop order or other order suspending the effectiveness of any registration statement filed by the Company or any Subsidiary under the Exchange Act or the Securities Act.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Labor Relations</w:t>
      </w:r>
      <w:r>
        <w:rPr>
          <w:rFonts w:ascii="Times New Roman" w:eastAsia="Times New Roman" w:hAnsi="Times New Roman" w:cs="Times New Roman"/>
          <w:b w:val="0"/>
          <w:i w:val="0"/>
          <w:color w:val="000000"/>
          <w:sz w:val="22"/>
          <w:u w:val="none"/>
        </w:rPr>
        <w:t>. No labor dispute exists or, to the knowledge of the Company, is imminent with respect to any of the employees of the Company, which would reasonably be expected to result in a Material Adverse Effect. The Company and its Subsidiaries believe that their relationships with their employees are good. To the knowledge of the Company, no executive officer of the Company or any Subsidiary, is, or is now expected to be, in violation of any material term of any employment contract, confidentiality, disclosure or proprietary information agreement or non-competition agreement, or any other contract or agreement or any restrictive covenant in favor of any third party, and the continued employment of each such executive officer does not subject the Company or any of its Subsidiaries to any liability with respect to any of the foregoing matters. The Company and its Subsidiaries are in compliance with all applicable U.S. federal, state, local and foreign laws and regulations relating to employment and employment practices, terms and conditions of employment and wages and hours, except where the failure to be in compliance would not, individually or in the aggregate, reasonably be expected to have a Material Adverse Effect.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Environmental Laws</w:t>
      </w:r>
      <w:r>
        <w:rPr>
          <w:rFonts w:ascii="Times New Roman" w:eastAsia="Times New Roman" w:hAnsi="Times New Roman" w:cs="Times New Roman"/>
          <w:b w:val="0"/>
          <w:i w:val="0"/>
          <w:color w:val="000000"/>
          <w:sz w:val="22"/>
          <w:u w:val="none"/>
        </w:rPr>
        <w:t>. The Company and its Subsidiaries (i) are in compliance with all applicable federal, state, local and foreign laws relating to pollution or protection of human health or the environment (including ambient air, surface water, groundwater, land surface or subsurface strata), including laws relating to emissions, discharges, releases or threatened releases of chemicals, pollutants, contaminants, or toxic or hazardous substances or wastes (collectively, “</w:t>
      </w:r>
      <w:r>
        <w:rPr>
          <w:rFonts w:ascii="Times New Roman" w:eastAsia="Times New Roman" w:hAnsi="Times New Roman" w:cs="Times New Roman"/>
          <w:b w:val="0"/>
          <w:i w:val="0"/>
          <w:color w:val="000000"/>
          <w:sz w:val="22"/>
          <w:u w:val="single"/>
        </w:rPr>
        <w:t>Hazardous Materials</w:t>
      </w:r>
      <w:r>
        <w:rPr>
          <w:rFonts w:ascii="Times New Roman" w:eastAsia="Times New Roman" w:hAnsi="Times New Roman" w:cs="Times New Roman"/>
          <w:b w:val="0"/>
          <w:i w:val="0"/>
          <w:color w:val="000000"/>
          <w:sz w:val="22"/>
          <w:u w:val="none"/>
        </w:rPr>
        <w:t>”) into the environment, or otherwise relating to the manufacture, processing, distribution, use, treatment, storage, disposal, transport or handling of Hazardous Materials, as well as all authorizations, codes, decrees, demands, or demand letters, injunctions, judgments, licenses, notices or notice letters, orders, permits, plans or regulations, issued, entered, promulgated or approved thereunder (“</w:t>
      </w:r>
      <w:r>
        <w:rPr>
          <w:rFonts w:ascii="Times New Roman" w:eastAsia="Times New Roman" w:hAnsi="Times New Roman" w:cs="Times New Roman"/>
          <w:b w:val="0"/>
          <w:i w:val="0"/>
          <w:color w:val="000000"/>
          <w:sz w:val="22"/>
          <w:u w:val="single"/>
        </w:rPr>
        <w:t>Environmental Laws</w:t>
      </w:r>
      <w:r>
        <w:rPr>
          <w:rFonts w:ascii="Times New Roman" w:eastAsia="Times New Roman" w:hAnsi="Times New Roman" w:cs="Times New Roman"/>
          <w:b w:val="0"/>
          <w:i w:val="0"/>
          <w:color w:val="000000"/>
          <w:sz w:val="22"/>
          <w:u w:val="none"/>
        </w:rPr>
        <w:t>”); (ii) have received all permits licenses or other approvals required of them under applicable Environmental Laws to conduct their respective businesses; and (iii) are in compliance with all terms and conditions of any such permit, license or approval where in each clause (i), (ii) and (iii), the failure to so comply would be reasonably expected to have, individually or in the aggregate, a Material Adverse Effect.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Compliance</w:t>
      </w:r>
      <w:r>
        <w:rPr>
          <w:rFonts w:ascii="Times New Roman" w:eastAsia="Times New Roman" w:hAnsi="Times New Roman" w:cs="Times New Roman"/>
          <w:b w:val="0"/>
          <w:i w:val="0"/>
          <w:color w:val="000000"/>
          <w:sz w:val="22"/>
          <w:u w:val="none"/>
        </w:rPr>
        <w:t>. Neither the Company nor any Subsidiary: (i) is in default under or in violation of (and no event has occurred that has not been waived that, with notice or lapse of time or both, would result in a default by the Company or any Subsidiary under), nor has the Company or any Subsidiary received notice of a claim that it is in default under or that it is in violation of, any indenture, loan or credit agreement or any other agreement or instrument to which it is a party or by which it or any of its properties is bound (whether or not such default or violation has been waived), (ii) is in violation of any judgment, decree or order of any court, arbitrator or other governmental authority or (iii) is or has been in violation of any statute, rule, ordinance or regulation of any governmental authority, including without limitation all foreign, federal, state and local laws relating to taxes, environmental protection, occupational health and safety, product quality and safety and employment and labor matters, except in each case as would not have or reasonably be expected to result in a Material Adverse Effect.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Regulatory Permits</w:t>
      </w:r>
      <w:r>
        <w:rPr>
          <w:rFonts w:ascii="Times New Roman" w:eastAsia="Times New Roman" w:hAnsi="Times New Roman" w:cs="Times New Roman"/>
          <w:b w:val="0"/>
          <w:i w:val="0"/>
          <w:color w:val="000000"/>
          <w:sz w:val="22"/>
          <w:u w:val="none"/>
        </w:rPr>
        <w:t>. The Company and the Subsidiaries possess all certificates, authorizations and permits issued by the appropriate federal, state, local or foreign regulatory authorities necessary to conduct their respective businesses as described in the SEC Reports, except where the failure to possess such permits would not reasonably be expected to result in a Material Adverse Effect (“</w:t>
      </w:r>
      <w:r>
        <w:rPr>
          <w:rFonts w:ascii="Times New Roman" w:eastAsia="Times New Roman" w:hAnsi="Times New Roman" w:cs="Times New Roman"/>
          <w:b w:val="0"/>
          <w:i w:val="0"/>
          <w:color w:val="000000"/>
          <w:sz w:val="22"/>
          <w:u w:val="single"/>
        </w:rPr>
        <w:t>Material Permits</w:t>
      </w:r>
      <w:r>
        <w:rPr>
          <w:rFonts w:ascii="Times New Roman" w:eastAsia="Times New Roman" w:hAnsi="Times New Roman" w:cs="Times New Roman"/>
          <w:b w:val="0"/>
          <w:i w:val="0"/>
          <w:color w:val="000000"/>
          <w:sz w:val="22"/>
          <w:u w:val="none"/>
        </w:rPr>
        <w:t>”), and neither the Company nor any Subsidiary has received any notice of proceedings relating to the revocation or modification of any Material Permit.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Title to Assets</w:t>
      </w:r>
      <w:r>
        <w:rPr>
          <w:rFonts w:ascii="Times New Roman" w:eastAsia="Times New Roman" w:hAnsi="Times New Roman" w:cs="Times New Roman"/>
          <w:b w:val="0"/>
          <w:i w:val="0"/>
          <w:color w:val="000000"/>
          <w:sz w:val="22"/>
          <w:u w:val="none"/>
        </w:rPr>
        <w:t>. The Company and the Subsidiaries have good and marketable title in fee simple to all real property owned by them and good and marketable title in all personal property owned by them that is material to the business of the Company and the Subsidiaries, in each case free and clear of all Liens, except for (i) Liens described in the SEC Reports, (ii) Liens as do not materially affect the value of such property and do not materially interfere with the use made and proposed to be made of such property by the Company and the Subsidiaries, and (iii) Liens for the payment of federal, state or other taxes, for which appropriate reserves have been made therefor in accordance with GAAP and, the payment of which is neither delinquent nor subject to penalties. Any real property and facilities held under lease by the Company and the Subsidiaries are held by them under valid, subsisting and enforceable leases with which the Company and the Subsidiaries are in compliance, except where the failure to be in compliance would not reasonably be expected to have a Material Adverse Effect.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Intellectual Property</w:t>
      </w:r>
      <w:r>
        <w:rPr>
          <w:rFonts w:ascii="Times New Roman" w:eastAsia="Times New Roman" w:hAnsi="Times New Roman" w:cs="Times New Roman"/>
          <w:b w:val="0"/>
          <w:i w:val="0"/>
          <w:color w:val="000000"/>
          <w:sz w:val="22"/>
          <w:u w:val="none"/>
        </w:rPr>
        <w:t>. The Company and the Subsidiaries have, or have rights to use, all patents, patent applications, trademarks, trademark applications, service marks, trade names, trade secrets, inventions, copyrights, licenses and other intellectual property rights and similar rights necessary or required for use in connection with their respective businesses as described in the SEC Reports except as would not have or reasonably be expected to have a Material Adverse Effect (collectively, the “</w:t>
      </w:r>
      <w:r>
        <w:rPr>
          <w:rFonts w:ascii="Times New Roman" w:eastAsia="Times New Roman" w:hAnsi="Times New Roman" w:cs="Times New Roman"/>
          <w:b w:val="0"/>
          <w:i w:val="0"/>
          <w:color w:val="000000"/>
          <w:sz w:val="22"/>
          <w:u w:val="single"/>
        </w:rPr>
        <w:t>Intellectual Property Rights</w:t>
      </w:r>
      <w:r>
        <w:rPr>
          <w:rFonts w:ascii="Times New Roman" w:eastAsia="Times New Roman" w:hAnsi="Times New Roman" w:cs="Times New Roman"/>
          <w:b w:val="0"/>
          <w:i w:val="0"/>
          <w:color w:val="000000"/>
          <w:sz w:val="22"/>
          <w:u w:val="none"/>
        </w:rPr>
        <w:t>”). Except as set forth in the SEC Reports, none of, and neither the Company nor any Subsidiary has received a notice (written or otherwise) that any of, the Intellectual Property Rights has expired, terminated or been abandoned, or is expected to expire or terminate or be abandoned, within two (2) years from the date of this Agreement, except in the ordinary course of business or which would not reasonably be expected to have a Material Adverse Effect. Neither the Company nor any Subsidiary has received, since the date of the latest audited financial statements included within the SEC Reports, a written notice of a claim or otherwise has any knowledge that the Intellectual Property Rights violate or infringe upon the rights of any Person, except as could not have or reasonably be expected to not have a Material Adverse Effect. To the knowledge of the Company, all such Intellectual Property Rights are enforceable and there is no existing infringement by another Person of any of the Intellectual Property Rights, except as would not reasonably be expected to have a Material Adverse Effect. The Company and its Subsidiaries have taken reasonable security measures to protect the secrecy, confidentiality and value of all of their intellectual properties, except where failure to do so could not, individually or in the aggregate, reasonably be expected to have a Material Adverse Effect. The Company has no knowledge of any facts that would preclude it from having valid license rights or clear title to the Intellectual Property Rights. The Company has no knowledge that it lacks or will be unable to obtain any rights or licenses to use all material Intellectual Property Rights that are necessary to conduct its business.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Insurance</w:t>
      </w:r>
      <w:r>
        <w:rPr>
          <w:rFonts w:ascii="Times New Roman" w:eastAsia="Times New Roman" w:hAnsi="Times New Roman" w:cs="Times New Roman"/>
          <w:b w:val="0"/>
          <w:i w:val="0"/>
          <w:color w:val="000000"/>
          <w:sz w:val="22"/>
          <w:u w:val="none"/>
        </w:rPr>
        <w:t>. The Company and the Subsidiaries are insured by insurers of recognized financial responsibility against such losses and risks and in such amounts as are prudent and customary for companies of the Company’s size and in the businesses in which the Company and the Subsidiaries are engaged. Neither the Company nor any Subsidiary has any reason to believe that it will not be able to renew its existing insurance coverage as and when such coverage expires or to obtain similar coverage from similar insurers as may be necessary to continue its business without a significant increase in cost.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Transactions With Affiliates and Employees</w:t>
      </w:r>
      <w:r>
        <w:rPr>
          <w:rFonts w:ascii="Times New Roman" w:eastAsia="Times New Roman" w:hAnsi="Times New Roman" w:cs="Times New Roman"/>
          <w:b w:val="0"/>
          <w:i w:val="0"/>
          <w:color w:val="000000"/>
          <w:sz w:val="22"/>
          <w:u w:val="none"/>
        </w:rPr>
        <w:t>. Except as set forth in the SEC Reports, none of the officers or directors of the Company or any Subsidiary and, to the knowledge of the Company, none of the employees of the Company or any Subsidiary is presently a party to any transaction with the Company or any Subsidiary (other than for services as employees, officers and directors), including any contract, agreement or other arrangement providing for the furnishing of services to or by, providing for rental of real or personal property to or from, providing for the borrowing of money from or lending of money to or otherwise requiring payments to or from any officer, director or such employee or, to the knowledge of the Company, any entity in which any officer, director, or any such employee has a substantial interest or is an officer, director, trustee, shareholder, member or partner, in each case in excess of $120,000 other than for (i) payment of salary or consulting fees for services rendered, (ii) reimbursement for expenses incurred on behalf of the Company and (iii) other employee benefits, including share option agreements under any share option plan of the Company.</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Sarbanes-Oxley; Internal Accounting Controls</w:t>
      </w:r>
      <w:r>
        <w:rPr>
          <w:rFonts w:ascii="Times New Roman" w:eastAsia="Times New Roman" w:hAnsi="Times New Roman" w:cs="Times New Roman"/>
          <w:b w:val="0"/>
          <w:i w:val="0"/>
          <w:color w:val="000000"/>
          <w:sz w:val="22"/>
          <w:u w:val="none"/>
        </w:rPr>
        <w:t>. The Company and the Subsidiaries are in compliance with any and all applicable requirements of the Sarbanes-Oxley Act of 2002 that are effective as of the date hereof, and any and all applicable rules and regulations promulgated by the Commission thereunder that are effective as of the date hereof and as of the Closing Date. The Company and the Subsidiaries maintain a system of internal accounting controls sufficient to provide reasonable assurance that: (i) transactions are executed in accordance with management’s general or specific authorizations, (ii) transactions are recorded as necessary to permit preparation of financial statements in conformity with GAAP and to maintain asset accountability, (iii) access to assets is permitted only in accordance with management’s general or specific authorization, and (iv) the recorded accountability for assets is compared with the existing assets at reasonable intervals and appropriate action is taken with respect to any differences. The Company and the Subsidiaries have established disclosure controls and procedures (as defined in Exchange Act Rules 13a-15(e) and 15d-15(e)) for the Company and the Subsidiaries and designed such disclosure controls and procedures to ensure that information required to be disclosed by the Company in the reports it files or submits under the Exchange Act is recorded, processed, summarized and reported, within the time periods specified in the Commission’s rules and forms. The Company’s certifying officers have evaluated the effectiveness of the disclosure controls and procedures of the Company and the Subsidiaries as of the end of the period covered by the most recently filed periodic report under the Exchange Act (such date, the “</w:t>
      </w:r>
      <w:r>
        <w:rPr>
          <w:rFonts w:ascii="Times New Roman" w:eastAsia="Times New Roman" w:hAnsi="Times New Roman" w:cs="Times New Roman"/>
          <w:b w:val="0"/>
          <w:i w:val="0"/>
          <w:color w:val="000000"/>
          <w:sz w:val="22"/>
          <w:u w:val="single"/>
        </w:rPr>
        <w:t>Evaluation Date</w:t>
      </w:r>
      <w:r>
        <w:rPr>
          <w:rFonts w:ascii="Times New Roman" w:eastAsia="Times New Roman" w:hAnsi="Times New Roman" w:cs="Times New Roman"/>
          <w:b w:val="0"/>
          <w:i w:val="0"/>
          <w:color w:val="000000"/>
          <w:sz w:val="22"/>
          <w:u w:val="none"/>
        </w:rPr>
        <w:t>”). The Company presented in its most recently filed periodic report under the Exchange Act the conclusions of the certifying officers about the effectiveness of the disclosure controls and procedures based on their evaluations as of the Evaluation Date. Since the Evaluation Date, there have been no changes in the internal control over financial reporting (as such term is defined in the Exchange Act) of the Company and its Subsidiaries that have materially affected, or is reasonably likely to materially affect, the internal control over financial reporting of the Company and its Subsidiaries.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Certain Fees</w:t>
      </w:r>
      <w:r>
        <w:rPr>
          <w:rFonts w:ascii="Times New Roman" w:eastAsia="Times New Roman" w:hAnsi="Times New Roman" w:cs="Times New Roman"/>
          <w:b w:val="0"/>
          <w:i w:val="0"/>
          <w:color w:val="000000"/>
          <w:sz w:val="22"/>
          <w:u w:val="none"/>
        </w:rPr>
        <w:t>. Except pursuant to the Placement Agency Agreement, no brokerage or finder’s fees or commissions are payable by the Company or any Subsidiary to any broker, financial advisor or consultant, finder, placement agent, investment banker, bank or other Person with respect to the transactions contemplated by the Transaction Documents. The Purchasers shall have no obligation with respect to any fees or with respect to any claims made by or on behalf of other Persons for fees of a type contemplated in this Section that may be due in connection with the transactions contemplated by the Transaction Documents.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Investment Company</w:t>
      </w:r>
      <w:r>
        <w:rPr>
          <w:rFonts w:ascii="Times New Roman" w:eastAsia="Times New Roman" w:hAnsi="Times New Roman" w:cs="Times New Roman"/>
          <w:b w:val="0"/>
          <w:i w:val="0"/>
          <w:color w:val="000000"/>
          <w:sz w:val="22"/>
          <w:u w:val="none"/>
        </w:rPr>
        <w:t>. The Company is not, and immediately after receipt of payment for the Securities, will not be, an “investment company” within the meaning of the Investment Company Act of 1940, as amended. The Company shall conduct its business in a manner so that it will not become an “investment company” subject to registration under the Investment Company Act of 1940, as amended.</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Registration Rights</w:t>
      </w:r>
      <w:r>
        <w:rPr>
          <w:rFonts w:ascii="Times New Roman" w:eastAsia="Times New Roman" w:hAnsi="Times New Roman" w:cs="Times New Roman"/>
          <w:b w:val="0"/>
          <w:i w:val="0"/>
          <w:color w:val="000000"/>
          <w:sz w:val="22"/>
          <w:u w:val="none"/>
        </w:rPr>
        <w:t>. Except as set forth in the SEC Reports, no Person has any right to cause the Company or any Subsidiary to effect the registration under the Securities Act of any securities of the Company or any Subsidiary.</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Listing and Maintenance Requirements</w:t>
      </w:r>
      <w:r>
        <w:rPr>
          <w:rFonts w:ascii="Times New Roman" w:eastAsia="Times New Roman" w:hAnsi="Times New Roman" w:cs="Times New Roman"/>
          <w:b w:val="0"/>
          <w:i w:val="0"/>
          <w:color w:val="000000"/>
          <w:sz w:val="22"/>
          <w:u w:val="none"/>
        </w:rPr>
        <w:t>. The shares of Common Stock are registered pursuant to Section 12(b) or 12(g) of the Exchange Act, and the Company has taken no action designed to, or which to its knowledge is likely to have the effect of, terminating the registration of the shares of Common Stock under the Exchange Act nor has the Company received any notification that the Commission is contemplating terminating such registration. Except as set forth in the SEC Reports, the Company has not, in the 12 months preceding the date hereof, received notice from any Trading Market on which the Common Stock are or has been listed or quoted to the effect that the Company is not in compliance with the listing or maintenance requirements of such Trading Market. The Company is, and has no reason to believe that it will not in the foreseeable future continue to be, in compliance with all such listing and maintenance requirements. The Common Stock are currently eligible for electronic transfer through the Depository Trust Company or another established clearing corporation and the Company is current in payment of the fees to the Depository Trust Company (or such other established clearing corporation) in connection with such electronic transfer.</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Application of Takeover Protections</w:t>
      </w:r>
      <w:r>
        <w:rPr>
          <w:rFonts w:ascii="Times New Roman" w:eastAsia="Times New Roman" w:hAnsi="Times New Roman" w:cs="Times New Roman"/>
          <w:b w:val="0"/>
          <w:i w:val="0"/>
          <w:color w:val="000000"/>
          <w:sz w:val="22"/>
          <w:u w:val="none"/>
        </w:rPr>
        <w:t>. Except as provided in the SEC Reports, the Company and the Board of Directors have taken all necessary action, if any, in order to render inapplicable any control share acquisition, business combination, poison pill (including any distribution under a rights agreement) or other similar anti-takeover provision under the Company’s articles of incorporation (or similar charter documents) or the laws of its state of incorporation that is or could become applicable to the Purchasers as a result of the Purchasers and the Company fulfilling their respective obligations or exercising their respective rights under the Transaction Documents, including without limitation, as a result of the Company’s issuance of the Securities and the Purchasers’ ownership of the Securities.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Disclosure</w:t>
      </w:r>
      <w:r>
        <w:rPr>
          <w:rFonts w:ascii="Times New Roman" w:eastAsia="Times New Roman" w:hAnsi="Times New Roman" w:cs="Times New Roman"/>
          <w:b w:val="0"/>
          <w:i w:val="0"/>
          <w:color w:val="000000"/>
          <w:sz w:val="22"/>
          <w:u w:val="none"/>
        </w:rPr>
        <w:t>. Except with respect to the material terms and conditions of the transactions contemplated by the Transaction Documents, the Company confirms that neither it nor any other Person acting on its behalf has provided the Purchasers or their agents or counsel with any information that it believes constitutes or might constitute material, non-public information which is not otherwise disclosed in the SEC Reports. The Company understands and confirms that the Purchasers will rely on the foregoing representation in effecting transactions in securities of the Company. All of the disclosure furnished by or on behalf of the Company to the Purchasers regarding the Company and its Subsidiaries, their respective businesses and the transactions contemplated hereby, is true and correct and does not contain any untrue statement of a material fact or omit to state any material fact necessary in order to make the statements made therein, in the light of the circumstances under which they were made, not misleading. The press releases disseminated by the Company during the twelve months preceding the date of this Agreement taken as a whole do not contain any untrue statement of a material fact or omit to state a material fact required to be stated therein or necessary in order to make the statements therein, in the light of the circumstances under which they were made and when made, not misleading. The Company acknowledges and agrees that no Purchaser makes or has made any representations or warranties with respect to the transactions contemplated hereby other than those specifically set forth in Section 3.2 hereof.</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Integrated Offering</w:t>
      </w:r>
      <w:r>
        <w:rPr>
          <w:rFonts w:ascii="Times New Roman" w:eastAsia="Times New Roman" w:hAnsi="Times New Roman" w:cs="Times New Roman"/>
          <w:b w:val="0"/>
          <w:i w:val="0"/>
          <w:color w:val="000000"/>
          <w:sz w:val="22"/>
          <w:u w:val="none"/>
        </w:rPr>
        <w:t>. Assuming the accuracy of the Purchasers’ representations and warranties set forth in Section 3.2, neither the Company, nor any of its Affiliates, nor any Person acting on its or their behalf has, directly or indirectly, made any offers or sales of any security or solicited any offers to buy any security, under circumstances that would cause this offering of the Securities to be integrated with prior offerings by the Company for purposes of (i) the Securities Act which would require the registration of the Shares and Pre-Funded Warrants under the Securities Act, or (ii) any applicable shareholder approval provisions of any Trading Market on which any of the securities of the Company are listed or designated, which, if integrated, will not be obtained.</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Solvency</w:t>
      </w:r>
      <w:r>
        <w:rPr>
          <w:rFonts w:ascii="Times New Roman" w:eastAsia="Times New Roman" w:hAnsi="Times New Roman" w:cs="Times New Roman"/>
          <w:b w:val="0"/>
          <w:i w:val="0"/>
          <w:color w:val="000000"/>
          <w:sz w:val="22"/>
          <w:u w:val="none"/>
        </w:rPr>
        <w:t>. The SEC Reports set forth as of the date hereof all outstanding secured and unsecured Indebtedness of the Company or any Subsidiary (excluding any unpaid interest thereon accrued since the Evaluation Date), or for which the Company or any Subsidiary has commitments. For the purposes of this Agreement, “</w:t>
      </w:r>
      <w:r>
        <w:rPr>
          <w:rFonts w:ascii="Times New Roman" w:eastAsia="Times New Roman" w:hAnsi="Times New Roman" w:cs="Times New Roman"/>
          <w:b w:val="0"/>
          <w:i w:val="0"/>
          <w:color w:val="000000"/>
          <w:sz w:val="22"/>
          <w:u w:val="single"/>
        </w:rPr>
        <w:t>Indebtedness</w:t>
      </w:r>
      <w:r>
        <w:rPr>
          <w:rFonts w:ascii="Times New Roman" w:eastAsia="Times New Roman" w:hAnsi="Times New Roman" w:cs="Times New Roman"/>
          <w:b w:val="0"/>
          <w:i w:val="0"/>
          <w:color w:val="000000"/>
          <w:sz w:val="22"/>
          <w:u w:val="none"/>
        </w:rPr>
        <w:t>” means (x) any liabilities for borrowed money or amounts owed in excess of $100,000 (other than trade accounts payable incurred in the ordinary course of business), (y) all guaranties, endorsements and other contingent obligations in respect of indebtedness of others, whether or not the same are or should be reflected in the Company’s consolidated balance sheet (or the notes thereto), except guaranties by endorsement of negotiable instruments for deposit or collection or similar transactions in the ordinary course of business; and (z) the present value of any lease payments in excess of $100,000 due under leases required to be capitalized in accordance with GAAP.</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Tax Status</w:t>
      </w:r>
      <w:r>
        <w:rPr>
          <w:rFonts w:ascii="Times New Roman" w:eastAsia="Times New Roman" w:hAnsi="Times New Roman" w:cs="Times New Roman"/>
          <w:b w:val="0"/>
          <w:i w:val="0"/>
          <w:color w:val="000000"/>
          <w:sz w:val="22"/>
          <w:u w:val="none"/>
        </w:rPr>
        <w:t>. Except for matters that would not, individually or in the aggregate, have or reasonably be expected to result in a Material Adverse Effect, the Company and its Subsidiaries each (i) has made or filed all United States federal, state and local income and all foreign income and franchise tax returns, reports and declarations required by any jurisdiction to which it is subject, (ii) has paid all taxes and other governmental assessments and charges that are material in amount, shown or determined to be due on such returns, reports and declarations and (iii) has set aside on its books provision reasonably adequate for the payment of all material taxes for periods subsequent to the periods to which such returns, reports or declarations apply and (iv) has no unpaid taxes in any material amount claimed to be due by the taxing authority of any jurisdiction, and the officers of the Company or of any Subsidiary know of no basis for any such claim.</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Foreign Corrupt Practices</w:t>
      </w:r>
      <w:r>
        <w:rPr>
          <w:rFonts w:ascii="Times New Roman" w:eastAsia="Times New Roman" w:hAnsi="Times New Roman" w:cs="Times New Roman"/>
          <w:b w:val="0"/>
          <w:i w:val="0"/>
          <w:color w:val="000000"/>
          <w:sz w:val="22"/>
          <w:u w:val="none"/>
        </w:rPr>
        <w:t>. Neither the Company nor any Subsidiary, nor to the knowledge of the Company or any Subsidiary, any agent or other person acting on behalf of the Company or any Subsidiary, has (i) directly or indirectly, used any funds for unlawful contributions, gifts, entertainment or other unlawful expenses related to foreign or domestic political activity, (ii) made any unlawful payment to foreign or domestic government officials or employees or to any foreign or domestic political parties or campaigns from corporate funds, (iii) failed to disclose fully any contribution made by the Company or any Subsidiary (or made by any person acting on its behalf of which the Company is aware) which is in violation of law, or (iv) violated in any material respect any provision of FCPA.</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Accountants</w:t>
      </w:r>
      <w:r>
        <w:rPr>
          <w:rFonts w:ascii="Times New Roman" w:eastAsia="Times New Roman" w:hAnsi="Times New Roman" w:cs="Times New Roman"/>
          <w:b w:val="0"/>
          <w:i w:val="0"/>
          <w:color w:val="000000"/>
          <w:sz w:val="22"/>
          <w:u w:val="none"/>
        </w:rPr>
        <w:t>. The Company’s independent registered public accounting firm is set forth in the SEC Reports. To the knowledge and belief of the Company, such accounting firm (i) is a registered public accounting firm as required by the Exchange Act and (ii) shall express its opinion with respect to the financial statements to be included in the Company’s Annual Reports on Form 10-K for the fiscal year ending December 31, 2026.</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Acknowledgment Regarding Purchaser’s Purchase of Securities</w:t>
      </w:r>
      <w:r>
        <w:rPr>
          <w:rFonts w:ascii="Times New Roman" w:eastAsia="Times New Roman" w:hAnsi="Times New Roman" w:cs="Times New Roman"/>
          <w:b w:val="0"/>
          <w:i w:val="0"/>
          <w:color w:val="000000"/>
          <w:sz w:val="22"/>
          <w:u w:val="none"/>
        </w:rPr>
        <w:t>. The Company acknowledges and agrees that each Purchaser is acting solely in the capacity of an arm’s length purchaser with respect to the Transaction Documents and the transactions contemplated thereby. The Company further acknowledges that no Purchaser is acting as a financial advisor or fiduciary of the Company (or in any similar capacity) with respect to the Transaction Documents and the transactions contemplated thereby and any advice given by any Purchaser or any of their respective representatives or agents in connection with the Transaction Documents and the transactions contemplated thereby is merely incidental to the Purchasers’ purchase of the Securities. The Company further represents to each Purchaser that the Company’s decision to enter into this Agreement and the other Transaction Documents has been based solely on the independent evaluation of the transactions contemplated hereby by the Company and its representatives.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Acknowledgment Regarding Purchaser’s Trading Activity</w:t>
      </w:r>
      <w:r>
        <w:rPr>
          <w:rFonts w:ascii="Times New Roman" w:eastAsia="Times New Roman" w:hAnsi="Times New Roman" w:cs="Times New Roman"/>
          <w:b w:val="0"/>
          <w:i w:val="0"/>
          <w:color w:val="000000"/>
          <w:sz w:val="22"/>
          <w:u w:val="none"/>
        </w:rPr>
        <w:t>. Anything in this Agreement or elsewhere herein to the contrary notwithstanding (except for Sections 3.2(f) and 4.14 hereof), it is understood and acknowledged by the Company that: (i) none of the Purchasers has been asked by the Company to agree, nor has any Purchaser agreed, to desist from purchasing or selling, long and/or short, securities of the Company, or “derivative” securities based on securities issued by the Company or to hold the Securities for any specified term; (ii) past or future open market or other transactions by any Purchaser, specifically including, without limitation, Short Sales or “derivative” transactions, before or after the closing of this or future private placement transactions, may negatively impact the market price of the Company’s publicly-traded securities; (iii) any Purchaser, and counter-parties in “derivative” transactions to which any such Purchaser is a party, directly or indirectly, presently may have a “short” position in the shares of Common Stock, and (iv) each Purchaser shall not be deemed to have any affiliation with or control over any arm’s length counter-party in any “derivative” transaction. The Company further understands and acknowledges that (y) one or more Purchasers may engage in hedging activities (in material compliance with applicable laws) at various times during the period that the Securities are outstanding, including, without limitation, during the periods that the value of Pre-Funded Warrant Shares deliverable with respect to Securities are being determined, and (z) such hedging activities (if any) could reduce the value of the existing shareholders’ equity interests in the Company at and after the time that the hedging activities are being conducted. The Company acknowledges that such aforementioned hedging activities do not constitute a breach of any of the Transaction Documents.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Regulation M Compliance</w:t>
      </w:r>
      <w:r>
        <w:rPr>
          <w:rFonts w:ascii="Times New Roman" w:eastAsia="Times New Roman" w:hAnsi="Times New Roman" w:cs="Times New Roman"/>
          <w:b w:val="0"/>
          <w:i w:val="0"/>
          <w:color w:val="000000"/>
          <w:sz w:val="22"/>
          <w:u w:val="none"/>
        </w:rPr>
        <w:t>. The Company has not, and to its knowledge no one acting on its behalf has, (i) taken, directly or indirectly, any action designed to cause or to result in the stabilization or manipulation of the price of any security of the Company to facilitate the sale or resale of any of the Securities, (ii) sold, bid for, purchased, or paid any compensation for soliciting purchases of, any of the Securities, or (iii) paid or agreed to pay to any Person any compensation for soliciting another to purchase any other securities of the Company, other than, in the case of clauses (ii) and (iii), compensation paid to the Placement Agent in connection with the placement of the Securities.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Cybersecurity</w:t>
      </w:r>
      <w:r>
        <w:rPr>
          <w:rFonts w:ascii="Times New Roman" w:eastAsia="Times New Roman" w:hAnsi="Times New Roman" w:cs="Times New Roman"/>
          <w:b w:val="0"/>
          <w:i w:val="0"/>
          <w:color w:val="000000"/>
          <w:sz w:val="22"/>
          <w:u w:val="none"/>
        </w:rPr>
        <w:t>. (i)(x) There has been no material security breach or other material compromise of or relating to any of the Company’s or any Subsidiary’s information technology and computer systems, networks, hardware, software, data (including the data of its respective customers, employees, suppliers, vendors and any third party data maintained by or on behalf of it), equipment or technology (collectively, “</w:t>
      </w:r>
      <w:r>
        <w:rPr>
          <w:rFonts w:ascii="Times New Roman" w:eastAsia="Times New Roman" w:hAnsi="Times New Roman" w:cs="Times New Roman"/>
          <w:b w:val="0"/>
          <w:i w:val="0"/>
          <w:color w:val="000000"/>
          <w:sz w:val="22"/>
          <w:u w:val="single"/>
        </w:rPr>
        <w:t>IT Systems and Data</w:t>
      </w:r>
      <w:r>
        <w:rPr>
          <w:rFonts w:ascii="Times New Roman" w:eastAsia="Times New Roman" w:hAnsi="Times New Roman" w:cs="Times New Roman"/>
          <w:b w:val="0"/>
          <w:i w:val="0"/>
          <w:color w:val="000000"/>
          <w:sz w:val="22"/>
          <w:u w:val="none"/>
        </w:rPr>
        <w:t>”) and (y) the Company and the Subsidiaries have not been notified of, and has no knowledge of any event or condition that would reasonably be expected to result in, any material security breach or other material compromise to its IT Systems and Data; (ii) the Company and the Subsidiaries are presently in compliance with all applicable laws or statutes and all judgments, orders, rules and regulations of any court or arbitrator or governmental or regulatory authority, internal policies and contractual obligations relating to the privacy and security of IT Systems and Data and to the protection of such IT Systems and Data from unauthorized use, access, misappropriation or modification, except as would not, individually or in the aggregate, reasonably be expected to have a Material Adverse Effect; (iii) the Company and the Subsidiaries have implemented and maintained commercially reasonable safeguards to maintain and protect its material confidential information and the integrity, continuous operation, redundancy and security of all IT Systems and Data; and (iv) the Company and the Subsidiaries have implemented backup and disaster recovery technology consistent with industry standards and practices.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Share Option Plans</w:t>
      </w:r>
      <w:r>
        <w:rPr>
          <w:rFonts w:ascii="Times New Roman" w:eastAsia="Times New Roman" w:hAnsi="Times New Roman" w:cs="Times New Roman"/>
          <w:b w:val="0"/>
          <w:i w:val="0"/>
          <w:color w:val="000000"/>
          <w:sz w:val="22"/>
          <w:u w:val="none"/>
        </w:rPr>
        <w:t>. Each share option granted by the Company under the Company’s equity incentive plan disclosed in the SEC was granted (i) in accordance with the terms of the Company’s equity incentive plan and (ii) with an exercise price at least equal to the fair market value of the shares of Common Stock on the date such share option would be considered granted under GAAP and applicable law. No share option granted under the Company’s equity incentive plan has been backdated. The Company has not knowingly granted, and there is no and has been no Company policy or practice to knowingly grant, share options prior to, or otherwise knowingly coordinate the grant of share options with, the release or other public announcement of material information regarding the Company or its Subsidiaries or their financial results or prospects.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Office of Foreign Assets Control</w:t>
      </w:r>
      <w:r>
        <w:rPr>
          <w:rFonts w:ascii="Times New Roman" w:eastAsia="Times New Roman" w:hAnsi="Times New Roman" w:cs="Times New Roman"/>
          <w:b w:val="0"/>
          <w:i w:val="0"/>
          <w:color w:val="000000"/>
          <w:sz w:val="22"/>
          <w:u w:val="none"/>
        </w:rPr>
        <w:t>. Neither the Company nor any Subsidiary nor, to the Company’s knowledge, any director, officer, agent, employee or affiliate of the Company or any Subsidiary is currently subject to any U.S. sanctions administered by the Office of Foreign Assets Control of the U.S. Treasury Department (“</w:t>
      </w:r>
      <w:r>
        <w:rPr>
          <w:rFonts w:ascii="Times New Roman" w:eastAsia="Times New Roman" w:hAnsi="Times New Roman" w:cs="Times New Roman"/>
          <w:b w:val="0"/>
          <w:i w:val="0"/>
          <w:color w:val="000000"/>
          <w:sz w:val="22"/>
          <w:u w:val="single"/>
        </w:rPr>
        <w:t>OFAC</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U.S. Real Property Holding Corporation</w:t>
      </w:r>
      <w:r>
        <w:rPr>
          <w:rFonts w:ascii="Times New Roman" w:eastAsia="Times New Roman" w:hAnsi="Times New Roman" w:cs="Times New Roman"/>
          <w:b w:val="0"/>
          <w:i w:val="0"/>
          <w:color w:val="000000"/>
          <w:sz w:val="22"/>
          <w:u w:val="none"/>
        </w:rPr>
        <w:t>. The Company is not and has never been a U.S. real property holding corporation within the meaning of Section 897 of the Internal Revenue Code of 1986, as amended, and the Company shall so certify upon Purchaser’s request.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Bank Holding Company Act</w:t>
      </w:r>
      <w:r>
        <w:rPr>
          <w:rFonts w:ascii="Times New Roman" w:eastAsia="Times New Roman" w:hAnsi="Times New Roman" w:cs="Times New Roman"/>
          <w:b w:val="0"/>
          <w:i w:val="0"/>
          <w:color w:val="000000"/>
          <w:sz w:val="22"/>
          <w:u w:val="none"/>
        </w:rPr>
        <w:t>. Neither the Company nor any of its Subsidiaries or Affiliates is subject to the Bank Holding Company Act of 1956, as amended (the “</w:t>
      </w:r>
      <w:r>
        <w:rPr>
          <w:rFonts w:ascii="Times New Roman" w:eastAsia="Times New Roman" w:hAnsi="Times New Roman" w:cs="Times New Roman"/>
          <w:b w:val="0"/>
          <w:i w:val="0"/>
          <w:color w:val="000000"/>
          <w:sz w:val="22"/>
          <w:u w:val="single"/>
        </w:rPr>
        <w:t>BHCA</w:t>
      </w:r>
      <w:r>
        <w:rPr>
          <w:rFonts w:ascii="Times New Roman" w:eastAsia="Times New Roman" w:hAnsi="Times New Roman" w:cs="Times New Roman"/>
          <w:b w:val="0"/>
          <w:i w:val="0"/>
          <w:color w:val="000000"/>
          <w:sz w:val="22"/>
          <w:u w:val="none"/>
        </w:rPr>
        <w:t>”) and to regulation by the Board of Governors of the Federal Reserve System (the “</w:t>
      </w:r>
      <w:r>
        <w:rPr>
          <w:rFonts w:ascii="Times New Roman" w:eastAsia="Times New Roman" w:hAnsi="Times New Roman" w:cs="Times New Roman"/>
          <w:b w:val="0"/>
          <w:i w:val="0"/>
          <w:color w:val="000000"/>
          <w:sz w:val="22"/>
          <w:u w:val="single"/>
        </w:rPr>
        <w:t>Federal Reserve</w:t>
      </w:r>
      <w:r>
        <w:rPr>
          <w:rFonts w:ascii="Times New Roman" w:eastAsia="Times New Roman" w:hAnsi="Times New Roman" w:cs="Times New Roman"/>
          <w:b w:val="0"/>
          <w:i w:val="0"/>
          <w:color w:val="000000"/>
          <w:sz w:val="22"/>
          <w:u w:val="none"/>
        </w:rPr>
        <w:t>”). Neither the Company nor any of its Subsidiaries or Affiliates owns or controls, directly or indirectly, five percent (5%) or more of the outstanding shares of any class of voting securities or twenty-five percent or more of the total equity of a bank or any entity that is subject to the BHCA and to regulation by the Federal Reserve. Neither the Company nor any of its Subsidiaries or Affiliates exercises a controlling influence over the management or policies of a bank or any entity that is subject to the BHCA and to regulation by the Federal Reserve.</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Money Laundering</w:t>
      </w:r>
      <w:r>
        <w:rPr>
          <w:rFonts w:ascii="Times New Roman" w:eastAsia="Times New Roman" w:hAnsi="Times New Roman" w:cs="Times New Roman"/>
          <w:b w:val="0"/>
          <w:i w:val="0"/>
          <w:color w:val="000000"/>
          <w:sz w:val="22"/>
          <w:u w:val="none"/>
        </w:rPr>
        <w:t>. The operations of the Company and its Subsidiaries are and have been conducted at all times in compliance with applicable financial record-keeping and reporting requirements of the Currency and Foreign Transactions Reporting Act of 1970, as amended, applicable money laundering statutes and applicable rules and regulations thereunder (collectively, the “</w:t>
      </w:r>
      <w:r>
        <w:rPr>
          <w:rFonts w:ascii="Times New Roman" w:eastAsia="Times New Roman" w:hAnsi="Times New Roman" w:cs="Times New Roman"/>
          <w:b w:val="0"/>
          <w:i w:val="0"/>
          <w:color w:val="000000"/>
          <w:sz w:val="22"/>
          <w:u w:val="single"/>
        </w:rPr>
        <w:t>Money Laundering Laws</w:t>
      </w:r>
      <w:r>
        <w:rPr>
          <w:rFonts w:ascii="Times New Roman" w:eastAsia="Times New Roman" w:hAnsi="Times New Roman" w:cs="Times New Roman"/>
          <w:b w:val="0"/>
          <w:i w:val="0"/>
          <w:color w:val="000000"/>
          <w:sz w:val="22"/>
          <w:u w:val="none"/>
        </w:rPr>
        <w:t>”), and no Action or Proceeding by or before any court or governmental agency, authority or body or any arbitrator involving the Company or any Subsidiary with respect to the Money Laundering Laws is pending or, to the knowledge of the Company or any Subsidiary, threatened.</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Other Covered Persons</w:t>
      </w:r>
      <w:r>
        <w:rPr>
          <w:rFonts w:ascii="Times New Roman" w:eastAsia="Times New Roman" w:hAnsi="Times New Roman" w:cs="Times New Roman"/>
          <w:b w:val="0"/>
          <w:i w:val="0"/>
          <w:color w:val="000000"/>
          <w:sz w:val="22"/>
          <w:u w:val="none"/>
        </w:rPr>
        <w:t>. Other than the Placement Agent, the Company is not aware of any person (other than any Issuer Covered Person) that has been or will be paid (directly or indirectly) remuneration for solicitation of the Purchasers in connection with the sale of any Securities.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Private Placement</w:t>
      </w:r>
      <w:r>
        <w:rPr>
          <w:rFonts w:ascii="Times New Roman" w:eastAsia="Times New Roman" w:hAnsi="Times New Roman" w:cs="Times New Roman"/>
          <w:b w:val="0"/>
          <w:i w:val="0"/>
          <w:color w:val="000000"/>
          <w:sz w:val="22"/>
          <w:u w:val="none"/>
        </w:rPr>
        <w:t>. Assuming the accuracy of the Purchasers’ representations and warranties set forth in Section 3.2, no registration under the Securities Act is required for the offer and sale of the Shares or Pre-Funded Warrants by the Company to the Purchasers as contemplated hereby.</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General Solicitation</w:t>
      </w:r>
      <w:r>
        <w:rPr>
          <w:rFonts w:ascii="Times New Roman" w:eastAsia="Times New Roman" w:hAnsi="Times New Roman" w:cs="Times New Roman"/>
          <w:b w:val="0"/>
          <w:i w:val="0"/>
          <w:color w:val="000000"/>
          <w:sz w:val="22"/>
          <w:u w:val="none"/>
        </w:rPr>
        <w:t>. Neither the Company nor any Person acting on behalf of the Company has offered or sold any of the Securities by any form of general solicitation or general advertising. The Company has offered the Securities for sale only to each Purchaser as an “accredited investor” within the meaning of Rule 501 under the Securities Act.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Disqualification Events</w:t>
      </w:r>
      <w:r>
        <w:rPr>
          <w:rFonts w:ascii="Times New Roman" w:eastAsia="Times New Roman" w:hAnsi="Times New Roman" w:cs="Times New Roman"/>
          <w:b w:val="0"/>
          <w:i w:val="0"/>
          <w:color w:val="000000"/>
          <w:sz w:val="22"/>
          <w:u w:val="none"/>
        </w:rPr>
        <w:t>. With respect to the Securities to be offered and sold hereunder in reliance on Rule 506 under the Securities Act, none of the Company, any of its predecessors, any affiliated issuer, any director, executive officer, other officer of the Company participating in the offering hereunder, any beneficial owner of 20% or more of the Company’s outstanding voting equity securities, calculated on the basis of voting power, nor any promoter (as that term is defined in Rule 405 under the Securities Act) connected with the Company in any capacity at the time of sale (each, an “</w:t>
      </w:r>
      <w:r>
        <w:rPr>
          <w:rFonts w:ascii="Times New Roman" w:eastAsia="Times New Roman" w:hAnsi="Times New Roman" w:cs="Times New Roman"/>
          <w:b w:val="0"/>
          <w:i w:val="0"/>
          <w:color w:val="000000"/>
          <w:sz w:val="22"/>
          <w:u w:val="single"/>
        </w:rPr>
        <w:t>Issuer Covered Person</w:t>
      </w:r>
      <w:r>
        <w:rPr>
          <w:rFonts w:ascii="Times New Roman" w:eastAsia="Times New Roman" w:hAnsi="Times New Roman" w:cs="Times New Roman"/>
          <w:b w:val="0"/>
          <w:i w:val="0"/>
          <w:color w:val="000000"/>
          <w:sz w:val="22"/>
          <w:u w:val="none"/>
        </w:rPr>
        <w:t>”) is subject to any of the “Bad Actor” disqualifications described in Rule 506(d)(1)(i) to (viii) under the Securities Act (a “</w:t>
      </w:r>
      <w:r>
        <w:rPr>
          <w:rFonts w:ascii="Times New Roman" w:eastAsia="Times New Roman" w:hAnsi="Times New Roman" w:cs="Times New Roman"/>
          <w:b w:val="0"/>
          <w:i w:val="0"/>
          <w:color w:val="000000"/>
          <w:sz w:val="22"/>
          <w:u w:val="single"/>
        </w:rPr>
        <w:t>Disqualification Event</w:t>
      </w:r>
      <w:r>
        <w:rPr>
          <w:rFonts w:ascii="Times New Roman" w:eastAsia="Times New Roman" w:hAnsi="Times New Roman" w:cs="Times New Roman"/>
          <w:b w:val="0"/>
          <w:i w:val="0"/>
          <w:color w:val="000000"/>
          <w:sz w:val="22"/>
          <w:u w:val="none"/>
        </w:rPr>
        <w:t>”), except for a Disqualification Event covered by Rule 506(d)(2) or (d)(3). The Company has exercised reasonable care to determine whether any Issuer Covered Person is subject to a Disqualification Event. The Company has complied, to the extent applicable, with its disclosure obligations under Rule 506(e), and has furnished to each Purchaser a copy of any disclosures provided thereunder.</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Notice of Disqualification Events</w:t>
      </w:r>
      <w:r>
        <w:rPr>
          <w:rFonts w:ascii="Times New Roman" w:eastAsia="Times New Roman" w:hAnsi="Times New Roman" w:cs="Times New Roman"/>
          <w:b w:val="0"/>
          <w:i w:val="0"/>
          <w:color w:val="000000"/>
          <w:sz w:val="22"/>
          <w:u w:val="none"/>
        </w:rPr>
        <w:t>. The Company will notify the Purchasers in writing, prior to the Closing Date of (i) any Disqualification Event relating to any Issuer Covered Person and (ii) any event that would, with the passage of time, reasonably be expected to become a Disqualification Event relating to any Issuer Covered Person, in each case of which it is aware.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Representations and Warranties of the Purchasers</w:t>
      </w:r>
      <w:r>
        <w:rPr>
          <w:rFonts w:ascii="Times New Roman" w:eastAsia="Times New Roman" w:hAnsi="Times New Roman" w:cs="Times New Roman"/>
          <w:b w:val="0"/>
          <w:i w:val="0"/>
          <w:color w:val="000000"/>
          <w:sz w:val="22"/>
          <w:u w:val="none"/>
        </w:rPr>
        <w:t>. Each Purchaser, for itself and for no other Purchaser, hereby represents and warrants as of the date hereof and as of the Closing Date to the Company as follows (unless as of a specific date therein, in which case such representation or warranty shall be accurate as of such date):</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Organization; Authority</w:t>
      </w:r>
      <w:r>
        <w:rPr>
          <w:rFonts w:ascii="Times New Roman" w:eastAsia="Times New Roman" w:hAnsi="Times New Roman" w:cs="Times New Roman"/>
          <w:b w:val="0"/>
          <w:i w:val="0"/>
          <w:color w:val="000000"/>
          <w:sz w:val="22"/>
          <w:u w:val="none"/>
        </w:rPr>
        <w:t>. Such Purchaser is either an individual or an entity duly incorporated or formed, validly existing and in good standing under the laws of the jurisdiction of its incorporation or formation with full right, corporate, partnership, limited liability company or similar power and authority to enter into and to consummate the transactions contemplated by the Transaction Documents and otherwise to carry out its obligations hereunder and thereunder. The execution and delivery of the Transaction Documents and performance by such Purchaser of the transactions contemplated by the Transaction Documents have been duly authorized by all necessary corporate, partnership, limited liability company or similar action, as applicable, on the part of such Purchaser. Each Transaction Document to which it is a party has been duly executed by such Purchaser, and when delivered by such Purchaser in accordance with the terms hereof, will constitute the valid and legally binding obligation of such Purchaser, enforceable against it in accordance with its terms, except: (i) as limited by general equitable principles and applicable bankruptcy, insolvency, reorganization, moratorium and other laws of general application affecting enforcement of creditors’ rights generally, (ii) as limited by laws relating to the availability of specific performance, injunctive relief or other equitable remedies and (iii) insofar as indemnification and contribution provisions may be limited by applicable law.</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Understandings or Arrangements</w:t>
      </w:r>
      <w:r>
        <w:rPr>
          <w:rFonts w:ascii="Times New Roman" w:eastAsia="Times New Roman" w:hAnsi="Times New Roman" w:cs="Times New Roman"/>
          <w:b w:val="0"/>
          <w:i w:val="0"/>
          <w:color w:val="000000"/>
          <w:sz w:val="22"/>
          <w:u w:val="none"/>
        </w:rPr>
        <w:t>. Such Purchaser is acquiring the Securities as principal for its own account and has no direct or indirect arrangement or understandings with any other persons to distribute or regarding the distribution of such Securities  (this representation and warranty not limiting such Purchaser’s right to sell the Securities  pursuant to the Registration Statement or otherwise in compliance with applicable federal and state securities laws). Such Purchaser understands that the Shares and Pre-Funded Warrant Shares are “restricted securities” and have not been registered under the Securities Act or any applicable state securities law and is acquiring the Securities  hereunder in the ordinary course of its business. Such Purchaser is acquiring such Securities  as principal for his, her or its own account and not with a view to or for distributing or reselling such Securities or any part thereof in violation of the Securities Act or any applicable state securities law, has no present intention of distributing any of such Securities in violation of the Securities Act or any applicable state securities law and has no direct or indirect arrangement or understandings with any other persons to distribute or regarding the distribution of such Securities in violation of the Securities Act or any applicable state securities law (this representation and warranty not limiting such Purchaser’s right to sell such Securities pursuant to the Registration Statement or otherwise in compliance with applicable federal and state securities laws).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Purchaser Status</w:t>
      </w:r>
      <w:r>
        <w:rPr>
          <w:rFonts w:ascii="Times New Roman" w:eastAsia="Times New Roman" w:hAnsi="Times New Roman" w:cs="Times New Roman"/>
          <w:b w:val="0"/>
          <w:i w:val="0"/>
          <w:color w:val="000000"/>
          <w:sz w:val="22"/>
          <w:u w:val="none"/>
        </w:rPr>
        <w:t>. At the time such Purchaser was offered the Securities, it was, and as of the date hereof it is, and on each date on which it exercises any Pre-Funded Warrants, it will be either: (i) an “accredited investor” as defined in Rule 501(a)(1), (a)(2), (a)(3), (a)(7), (a)(8), (a)(9), (a)(12) or (a)(13) under the Securities Act or (ii) a “qualified institutional buyer” as defined in Rule 144A(a) under the Securities Act.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Experience of Such Purchaser</w:t>
      </w:r>
      <w:r>
        <w:rPr>
          <w:rFonts w:ascii="Times New Roman" w:eastAsia="Times New Roman" w:hAnsi="Times New Roman" w:cs="Times New Roman"/>
          <w:b w:val="0"/>
          <w:i w:val="0"/>
          <w:color w:val="000000"/>
          <w:sz w:val="22"/>
          <w:u w:val="none"/>
        </w:rPr>
        <w:t>. Such Purchaser, either alone or together with its representatives, has such knowledge, sophistication and experience in business and financial matters so as to be capable of evaluating the merits and risks of the prospective investment in the Securities, and has so evaluated the merits and risks of such investment. Such Purchaser is able to bear the economic risk of an investment in the Securities and, at the present time, is able to afford a complete loss of such investment.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Access to Information</w:t>
      </w:r>
      <w:r>
        <w:rPr>
          <w:rFonts w:ascii="Times New Roman" w:eastAsia="Times New Roman" w:hAnsi="Times New Roman" w:cs="Times New Roman"/>
          <w:b w:val="0"/>
          <w:i w:val="0"/>
          <w:color w:val="000000"/>
          <w:sz w:val="22"/>
          <w:u w:val="none"/>
        </w:rPr>
        <w:t>. Such Purchaser acknowledges that it has had the opportunity to review the Transaction Documents (including all exhibits and schedules thereto) and the SEC Reports and has been afforded, (i) the opportunity to ask such questions as it has deemed necessary of, and to receive answers from, representatives of the Company concerning the terms and conditions of the offering of the Securities and the merits and risks of investing in the Securities; (ii) access to information about the Company and its financial condition, results of operations, business, properties, management and prospects sufficient to enable it to evaluate its investment; and (iii) the opportunity to obtain such additional information that the Company possesses or can acquire without unreasonable effort or expense that is necessary to make an informed investment decision with respect to the investment. Such Purchaser acknowledges and agrees that neither the Placement Agent nor any Affiliate of the Placement Agent has provided such Purchaser with any information or advice with respect to the Securities nor is such information or advice necessary or desired. Neither the Placement Agent nor any Affiliate has made or makes any representation as to the Company or the quality of the Securities and the Placement Agent and any Affiliate may have acquired non-public information with respect to the Company which such Purchaser agrees need not be provided to it. In connection with the issuance of the Securities to such Purchaser, neither the Placement Agent nor any of its Affiliates has acted as a financial advisor or fiduciary to such Purchaser.</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Certain Transactions and Confidentiality</w:t>
      </w:r>
      <w:r>
        <w:rPr>
          <w:rFonts w:ascii="Times New Roman" w:eastAsia="Times New Roman" w:hAnsi="Times New Roman" w:cs="Times New Roman"/>
          <w:b w:val="0"/>
          <w:i w:val="0"/>
          <w:color w:val="000000"/>
          <w:sz w:val="22"/>
          <w:u w:val="none"/>
        </w:rPr>
        <w:t>. Other than consummating the transactions contemplated hereunder, such Purchaser has not, nor has any Person acting on behalf of or pursuant to any understanding with such Purchaser, directly or indirectly executed any purchases or sales, including Short Sales, of the securities of the Company during the period commencing as of the time that such Purchaser first received a term sheet (written or oral) from the Company or any other Person representing the Company setting forth the material terms of the transactions contemplated hereunder and ending immediately prior to the execution hereof. Notwithstanding the foregoing, (A) in the case of a Purchaser that is a multi-managed investment vehicle whereby separate portfolio managers manage separate portions of such Purchaser’s assets, the representation set forth above shall only apply with respect to the portion of assets managed by the portfolio manager that made the investment decision to purchase the Securities covered by this Agreement and (B) in the case of a Purchaser that has implemented internal information barriers pursuant to information controls policy to “wall-off” certain trading personnel, the representations set forth above shall only apply to such walled-off trading personnel. Other than to other Persons party to this Agreement or to such Purchaser’s representatives, including, without limitation, its officers, directors, partners, legal and other advisors, employees, agents and Affiliates, such Purchaser has maintained the confidentiality of all disclosures made to it in connection with this transaction (including the existence and terms of this transaction). Notwithstanding the foregoing, for the avoidance of doubt, nothing contained herein shall constitute a representation or warranty against, or a prohibition of, any actions with respect to the borrowing of, arrangement to borrow, identification of the availability of, and/or securing of, securities of the Company in order for such Purchaser (or its broker or other financial representative) to effect Short Sales or similar transactions in the future.</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General Solicitation</w:t>
      </w:r>
      <w:r>
        <w:rPr>
          <w:rFonts w:ascii="Times New Roman" w:eastAsia="Times New Roman" w:hAnsi="Times New Roman" w:cs="Times New Roman"/>
          <w:b w:val="0"/>
          <w:i w:val="0"/>
          <w:color w:val="000000"/>
          <w:sz w:val="22"/>
          <w:u w:val="none"/>
        </w:rPr>
        <w:t>. Such Purchaser is not purchasing the Securities as a result of any advertisement, article, notice or other communication regarding the Securities published in any newspaper, magazine or similar media or broadcast over television or radio or presented at any seminar or, to the knowledge of such Purchaser, any other general solicitation or general advertisement.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Disqualification Events</w:t>
      </w:r>
      <w:r>
        <w:rPr>
          <w:rFonts w:ascii="Times New Roman" w:eastAsia="Times New Roman" w:hAnsi="Times New Roman" w:cs="Times New Roman"/>
          <w:b w:val="0"/>
          <w:i w:val="0"/>
          <w:color w:val="000000"/>
          <w:sz w:val="22"/>
          <w:u w:val="none"/>
        </w:rPr>
        <w:t>. With respect to the Securities to be offered and sold hereunder in reliance on Rule 506 under the Securities Act, such Purchaser at the time of sale is not subject to any of the “Bad Actor” disqualifications described in Rule 506(d)(1)(i) to (viii) under the Securities Act, except for a Disqualification Event covered by Rule 506(d)(2) or (d)(3).</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Ownership Limitation</w:t>
      </w:r>
      <w:r>
        <w:rPr>
          <w:rFonts w:ascii="Times New Roman" w:eastAsia="Times New Roman" w:hAnsi="Times New Roman" w:cs="Times New Roman"/>
          <w:b w:val="0"/>
          <w:i w:val="0"/>
          <w:color w:val="000000"/>
          <w:sz w:val="22"/>
          <w:u w:val="none"/>
        </w:rPr>
        <w:t>. As of immediately prior to the Closing, and after giving effect to the purchase of the Securities hereunder (including, to the extent applicable, giving effect to the Exchange Cap set forth in the Pre-Funded Warrants), such Purchaser, together with any other Person whose beneficial ownership of Common Stock would be aggregated with such Purchaser’s for purposes of Section 13(d) of the Exchange Act and Nasdaq Listing Rule 5635(b), does not beneficially own, and the purchase of the Securities hereunder will not cause such Purchaser to beneficially own, 20% or more of the outstanding shares of Common Stock or 20% or more of the voting power of the Company.</w:t>
      </w:r>
    </w:p>
    <w:p w:rsidR="00A77B3E">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The Company acknowledges and agrees that the representations contained in this Section 3.2 shall not modify, amend or affect such Purchaser’s right to rely on the Company’s representations and warranties contained in this Agreement or any representations and warranties contained in any other Transaction Document or any other document or instrument executed and/or delivered in connection with this Agreement or the consummation of the transactions contemplated hereby. Notwithstanding the foregoing, for the avoidance of doubt, nothing contained herein shall constitute a representation or warranty, or preclude any actions, with respect to locating or borrowing shares in order to effect Short Sales or similar transactions in the future.</w:t>
      </w:r>
    </w:p>
    <w:p>
      <w:pPr>
        <w:pStyle w:val="ArticleSection1"/>
        <w:keepNext/>
        <w:keepLines w:val="0"/>
        <w:pageBreakBefore w:val="0"/>
        <w:widowControl/>
        <w:numPr>
          <w:ilvl w:val="0"/>
          <w:numId w:val="13"/>
        </w:numPr>
        <w:spacing w:before="0" w:after="120" w:line="240" w:lineRule="auto"/>
        <w:ind w:left="0" w:right="0" w:firstLine="0"/>
        <w:jc w:val="center"/>
        <w:outlineLvl w:val="9"/>
        <w:rPr>
          <w:rFonts w:ascii="Times New Roman" w:eastAsia="Times New Roman" w:hAnsi="Times New Roman" w:cs="Times New Roman"/>
          <w:b/>
          <w:i w:val="0"/>
          <w:color w:val="000000"/>
          <w:sz w:val="22"/>
          <w:u w:val="none"/>
        </w:rPr>
      </w:pPr>
      <w:r>
        <w:rPr>
          <w:rFonts w:ascii="Times New Roman" w:eastAsia="Times New Roman" w:hAnsi="Times New Roman" w:cs="Times New Roman"/>
          <w:b w:val="0"/>
          <w:i w:val="0"/>
          <w:color w:val="000000"/>
          <w:sz w:val="22"/>
          <w:u w:val="none"/>
        </w:rPr>
        <w:br/>
      </w:r>
      <w:r>
        <w:rPr>
          <w:rFonts w:ascii="Times New Roman" w:eastAsia="Times New Roman" w:hAnsi="Times New Roman" w:cs="Times New Roman"/>
          <w:b w:val="0"/>
          <w:i w:val="0"/>
          <w:color w:val="000000"/>
          <w:sz w:val="22"/>
          <w:u w:val="none"/>
        </w:rPr>
        <w:t>OTHER AGREEMENTS OF THE PARTIES</w:t>
      </w:r>
    </w:p>
    <w:p>
      <w:pPr>
        <w:pStyle w:val="ArticleSection2"/>
        <w:keepNext/>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Removal of Legends</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Shares, Pre-Funded Warrants and Pre-Funded Warrant Shares may only be disposed of in compliance with state and federal securities laws. In connection with any transfer of any such Securities other than pursuant to an effective registration statement or Rule 144, to the Company or to an Affiliate of a Purchaser or in connection with a pledge as contemplated in Section 4.1(c), the Company may require the transferor thereof to provide to the Company an opinion of counsel selected by the transferor and reasonably acceptable to the Company, the form and substance of which opinion shall be reasonably satisfactory to the Company, to the effect that such transfer does not require registration of such transferred Securities under the Securities Act. As a condition of transfer (other than pursuant to an effective Registration Statement or Rule 144), any such transferee shall agree in writing to be bound by the terms of this Agreement and the Registration Rights Agreement and shall have the rights and obligations of a Purchaser under this Agreement and the Registration Rights Agreement.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Purchasers agree to the imprinting, so long as is required by this Section 4.1, of a legend on each of the Shares, Pre-Funded Warrants and Pre-Funded Warrant Shares in substantially the following form:</w:t>
      </w:r>
    </w:p>
    <w:p w:rsidR="00A77B3E">
      <w:pPr>
        <w:keepNext w:val="0"/>
        <w:keepLines w:val="0"/>
        <w:pageBreakBefore w:val="0"/>
        <w:widowControl/>
        <w:numPr>
          <w:ilvl w:val="0"/>
          <w:numId w:val="0"/>
        </w:numPr>
        <w:spacing w:before="0" w:after="120" w:line="288" w:lineRule="auto"/>
        <w:ind w:left="144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[NEITHER] THIS SECURITY [NOR THE SECURITIES INTO WHICH THIS SECURITY IS EXCHANGEABLE] [HAS NOT] [HAVE] BEEN REGISTERED WITH THE SECURITIES AND EXCHANGE COMMISSION OR THE SECURITIES COMMISSION OF ANY STATE IN RELIANCE UPON AN EXEMPTION FROM REGISTRATION UNDER THE SECURITIES ACT OF 1933, AS AMENDED (THE “SECURITIES ACT”), AND, ACCORDINGLY, MAY NOT BE OFFERED OR SOLD EXCEPT PURSUANT TO AN EFFECTIVE REGISTRATION STATEMENT UNDER THE SECURITIES ACT OR PURSUANT TO AN AVAILABLE EXEMPTION FROM, OR IN A TRANSACTION NOT SUBJECT TO, THE REGISTRATION REQUIREMENTS OF THE SECURITIES ACT AND IN ACCORDANCE WITH APPLICABLE STATE SECURITIES LAWS. THIS SECURITY [AND THE SECURITIES ISSUABLE UPON EXERCISE OF THE SECURITY] MAY BE PLEDGED IN CONNECTION WITH A BONA FIDE MARGIN ACCOUNT WITH A REGISTERED BROKER-DEALER OR OTHER LOAN WITH A FINANCIAL INSTITUTION THAT IS AN “ACCREDITED INVESTOR” AS DEFINED IN RULE 501(a) UNDER THE SECURITIES ACT OR OTHER LOAN SECURED BY SUCH SECURITIES.</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The Company acknowledges and agrees that a Purchaser may from time to time pledge pursuant to a bona fide margin agreement with a registered broker-dealer or grant a security interest in some or all of the Securities to a financial institution that is an “accredited investor” as defined in Rule 501(a) under the Securities Act and who agrees to be bound by the provisions of this Agreement and, if required under the terms of such arrangement, such Purchaser may transfer pledged or secured any of the Securities to the pledgees or secured parties. Such a pledge or transfer would not be subject to approval of the Company and no legal opinion of legal counsel of the pledgee, secured party or pledgor shall be required in connection therewith. Further, no notice shall be required of such pledge. At the appropriate Purchaser’s expense, the Company will execute and deliver such reasonable documentation as a pledgee or secured party of any of the Securities may reasonably request in connection with a pledge or transfer of such Securities, including, if the Securities are subject to registration pursuant to the Registration Rights Agreement, the preparation and filing of any required prospectus supplement under Rule 424(b)(3) under the Securities Act or other applicable provision of the Securities Act to appropriately amend the list of Selling Shareholders (as defined in the Registration Rights Agreement) thereunder.</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Certificates (or account statements from the Transfer Agent) evidencing the Shares and Pre-Funded Warrant Shares shall not contain any legend (including the legend set forth in Section 4.1(b) hereof): (i) while a registration statement covering the resale of such security is effective under the Securities Act, or (ii) following any sale of such Shares or Pre-Funded Warrant Shares pursuant to Rule 144, or (iii) if such Shares or Pre-Funded Warrant Shares are eligible for sale under Rule 144, or (iv) if such legend is not required under applicable requirements of the Securities Act (including judicial interpretations and pronouncements issued by the staff of the Commission), subject in the case of clauses (ii), (iii) and (iv) to receipt from the Purchaser by the Company and the Transfer Agent of customary representations and other documentation reasonably acceptable to the Company and the Transfer Agent in connection with such request. The Company shall, or shall cause its counsel to, issue a legal opinion to the Transfer Agent or a Purchaser promptly if required by the Transfer Agent to effect the removal of the legend hereunder, or if requested by such Purchaser, respectively, in each case subject to receipt from the Purchaser of customary representations and other documentation reasonably acceptable to the Company. If all or any portion of a Pre-Funded Warrant is exercised at a time when there is an effective registration statement to cover the resale of the Pre-Funded Warrant Shares, if such Shares or Pre-Funded Warrant Shares may be sold under Rule 144 or if such legend is not otherwise required under applicable requirements of the Securities Act (including judicial interpretations and pronouncements issued by the staff of the Commission) then such Shares and Pre-Funded Warrant Shares shall be issued free of all legends, subject to receipt from Purchaser of customary representations and other documentation reasonably acceptable to the Company. The Company agrees that following such time as such legend is no longer required under this Section 4.1(d), the Company will, no later than two (2) Trading Days following the receipt from Purchaser of customary representations and other documentation reasonably acceptable to the Company and delivery by a Purchaser to the Company or the Transfer Agent of a certificate representing Shares and Pre-Funded Warrant Shares, as applicable, issued with a restrictive legend (such date, the “</w:t>
      </w:r>
      <w:r>
        <w:rPr>
          <w:rFonts w:ascii="Times New Roman" w:eastAsia="Times New Roman" w:hAnsi="Times New Roman" w:cs="Times New Roman"/>
          <w:b w:val="0"/>
          <w:i w:val="0"/>
          <w:color w:val="000000"/>
          <w:sz w:val="22"/>
          <w:u w:val="single"/>
        </w:rPr>
        <w:t>Legend Removal Date</w:t>
      </w:r>
      <w:r>
        <w:rPr>
          <w:rFonts w:ascii="Times New Roman" w:eastAsia="Times New Roman" w:hAnsi="Times New Roman" w:cs="Times New Roman"/>
          <w:b w:val="0"/>
          <w:i w:val="0"/>
          <w:color w:val="000000"/>
          <w:sz w:val="22"/>
          <w:u w:val="none"/>
        </w:rPr>
        <w:t xml:space="preserve">”), deliver or cause to be delivered to such Purchaser a certificate (or account statement from the Transfer Agent) representing such shares that is free from all restrictive and other legends. The Company may not make any notation on its records or give instructions to the Transfer Agent that enlarge the restrictions on transfer set forth in this Section 4. Shares and Pre-Funded Warrant Shares subject to legend removal hereunder shall be transmitted by the Transfer Agent to each applicable Purchaser by crediting the account of such Purchaser’s prime broker with the Depository Trust Company System as directed by such Purchaser. </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In addition to such Purchaser’s other available remedies, the Company shall pay to a Purchaser, in cash, (i) as partial liquidated damages and not as a penalty, for each $1,000 of Shares or Pre-Funded Warrant Shares (based on the VWAP of the shares of Common Stock on the date such Securities are submitted to the Transfer Agent) delivered for removal of the restrictive legend and subject to Section 4.1(d), $10 per Trading Day (increasing to $20 per Trading Day five (5) Trading Days after such damages have begun to accrue) for each Trading Day after the Legend Removal Date until such certificate is delivered without a legend; provided that (1) such liquidated damages shall not begin to accrue until the second (2nd) Trading Day after the Legend Removal Date and (2) the aggregate liquidated damages payable under this clause (A) shall not exceed the aggregate value (based on the VWAP referenced above) of the Shares or Pre-Funded Warrant Shares so submitted for legend removal and (ii) if the Company fails to (a) issue and deliver (or cause to be delivered) to a Purchaser by the Legend Removal Date a certificate (or account statement from the Transfer Agent)  representing the Securities so delivered to the Company by such Purchaser that is free from all restrictive and other legends and (b) if after the Legend Removal Date such Purchaser purchases (in an open market transaction or otherwise) shares of Common Stock to deliver in satisfaction of a sale by such Purchaser of all or any portion of the number of shares of Common Stock, or a sale of a number of shares of Common Stock equal to all or any portion of the number of shares of Common Stock, that such Purchaser anticipated receiving from the Company without any restrictive legend, then an amount equal to the excess of such Purchaser’s total purchase price (including brokerage commissions and other out-of-pocket expenses, if any) for the shares of Common Stock so purchased (including brokerage commissions and other out-of-pocket expenses, if any) (the “</w:t>
      </w:r>
      <w:r>
        <w:rPr>
          <w:rFonts w:ascii="Times New Roman" w:eastAsia="Times New Roman" w:hAnsi="Times New Roman" w:cs="Times New Roman"/>
          <w:b w:val="0"/>
          <w:i w:val="0"/>
          <w:color w:val="000000"/>
          <w:sz w:val="22"/>
          <w:u w:val="single"/>
        </w:rPr>
        <w:t>Buy-In Price</w:t>
      </w:r>
      <w:r>
        <w:rPr>
          <w:rFonts w:ascii="Times New Roman" w:eastAsia="Times New Roman" w:hAnsi="Times New Roman" w:cs="Times New Roman"/>
          <w:b w:val="0"/>
          <w:i w:val="0"/>
          <w:color w:val="000000"/>
          <w:sz w:val="22"/>
          <w:u w:val="none"/>
        </w:rPr>
        <w:t>”) over the product of (A) such number of Shares or Pre-Funded Warrant Shares that the Company was required to deliver to such Purchaser by the Legend Removal Date multiplied by (B) the lowest closing sale price of the shares of Common Stock on any Trading Day during the period commencing on the date of the delivery by such Purchaser to the Company of the applicable Shares or Pre-Funded Warrant Shares (as the case may be) and ending on the date of such delivery and payment under this Section 4.1(e).</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Each Purchaser, severally and not jointly with the other Purchasers, agrees with the Company that such Purchaser will sell any Securities pursuant to either the registration requirements of the Securities Act, including any applicable prospectus delivery requirements, or an exemption therefrom, and that if Securities are sold pursuant to a Registration Statement, they will be sold in compliance with the plan of distribution set forth therein, and acknowledges that the removal of the restrictive legend from certificates representing Securities as set forth in this Section 4.1 is predicated upon the Company’s reliance upon this upon this understanding.</w:t>
      </w:r>
    </w:p>
    <w:p>
      <w:pPr>
        <w:pStyle w:val="ArticleSection2"/>
        <w:keepNext/>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Furnishing of Information</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Until the earliest of (i) the first anniversary of the Closing Date, and (ii) the time that (A) the Purchasers no longer own any of the Securities or (B) the Pre-Funded Warrants expire, the Company covenants to timely file (or obtain extensions in respect thereof and file within the applicable grace period) all reports required to be filed by the Company after the date hereof pursuant to the Exchange Act even if the Company is not then subject to the reporting requirements of the Exchange Act.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At any time during the period commencing from the date hereof and ending at such time that all of the Pre-Funded Warrant Shares (assuming cashless exercise) may be sold without the requirement for the Company to be in compliance with Rule 144(c)(1) and otherwise without restriction or limitation pursuant to Rule 144, if the Company (i) shall fail for any reason to satisfy the current public information requirement under Rule 144(c) or (ii) has ever been an issuer described in Rule 144(i)(1)(i) or becomes an issuer in the future, and the Company shall fail to satisfy any condition set forth in Rule 144(i)(2) (a “</w:t>
      </w:r>
      <w:r>
        <w:rPr>
          <w:rFonts w:ascii="Times New Roman" w:eastAsia="Times New Roman" w:hAnsi="Times New Roman" w:cs="Times New Roman"/>
          <w:b w:val="0"/>
          <w:i w:val="0"/>
          <w:color w:val="000000"/>
          <w:sz w:val="22"/>
          <w:u w:val="single"/>
        </w:rPr>
        <w:t>Public Information Failure</w:t>
      </w:r>
      <w:r>
        <w:rPr>
          <w:rFonts w:ascii="Times New Roman" w:eastAsia="Times New Roman" w:hAnsi="Times New Roman" w:cs="Times New Roman"/>
          <w:b w:val="0"/>
          <w:i w:val="0"/>
          <w:color w:val="000000"/>
          <w:sz w:val="22"/>
          <w:u w:val="none"/>
        </w:rPr>
        <w:t>”) then, in addition to such Purchaser’s other available remedies, the Company shall pay to a Purchaser, in cash, as partial liquidated damages and not as a penalty, by reason of any such delay in or reduction of its ability to sell the Shares or Pre-Funded Warrant Shares, an amount in cash equal to one percent (1.0%) of the aggregate Subscription Amount with respect to the Shares or the exercise price of such Purchaser’s Pre-Funded Warrants, in each case that have not previously been sold, on the day of a Public Information Failure and on every thirtieth (30th) day (pro rated for periods totaling less than thirty days) thereafter until the earlier of (a) the date such Public Information Failure is cured, (b) such time that such public information is no longer required for the Purchasers to transfer the Shares or the Pre-Funded Warrant Shares pursuant to Rule 144 and (c) such time that the Shares or the Pre-Funded Warrant Shares may be sold pursuant to an effective Registration Statement.  If a Purchaser is notified by the Company of a Public Information Failure, then such Purchaser agrees that it shall not sell such Securities until the event of failure giving rise to the Public Information Failure Payments is cured, unless such sale is made pursuant to an exemption from registration other than pursuant to Rule 144, provided that no such Public Information Failure Payments shall be made on such Securities sold pursuant to such exemptions.  The payments to which the Purchasers shall be entitled pursuant to this Section 4.2(b) are referred to herein as “</w:t>
      </w:r>
      <w:r>
        <w:rPr>
          <w:rFonts w:ascii="Times New Roman" w:eastAsia="Times New Roman" w:hAnsi="Times New Roman" w:cs="Times New Roman"/>
          <w:b w:val="0"/>
          <w:i w:val="0"/>
          <w:color w:val="000000"/>
          <w:sz w:val="22"/>
          <w:u w:val="single"/>
        </w:rPr>
        <w:t>Public Information Failure Payments</w:t>
      </w:r>
      <w:r>
        <w:rPr>
          <w:rFonts w:ascii="Times New Roman" w:eastAsia="Times New Roman" w:hAnsi="Times New Roman" w:cs="Times New Roman"/>
          <w:b w:val="0"/>
          <w:i w:val="0"/>
          <w:color w:val="000000"/>
          <w:sz w:val="22"/>
          <w:u w:val="none"/>
        </w:rPr>
        <w:t>.” Public Information Failure Payments shall be paid on the earlier of (i) the last day of the calendar month during which such Public Information Failure Payments are incurred and (ii) the third (3rd) Business Day after the event or failure giving rise to the Public Information Failure Payments is cured. In the event the Company fails to make Public Information Failure Payments in a timely manner, such Public Information Failure Payments shall bear interest at the rate of 1.5% per month (prorated for partial months) until paid in full. Nothing herein shall limit such Purchaser’s right to pursue actual damages for the Public Information Failure, and such Purchaser shall have the right to pursue all remedies available to it at law or in equity including, without limitation, a decree of specific performance and/or injunctive relief. Notwithstanding anything to the contrary herein or an any Transaction Document, during any time that the Company is required to pay liquidated damages pursuant to any other Transaction Documents, the Company shall not be required to make any Public Information Failure Payments hereunder until such time as the Company is no longer obligated to pay such other liquidated damages (and only to the extent that a Public Information Failure is then continuing).</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Integration</w:t>
      </w:r>
      <w:r>
        <w:rPr>
          <w:rFonts w:ascii="Times New Roman" w:eastAsia="Times New Roman" w:hAnsi="Times New Roman" w:cs="Times New Roman"/>
          <w:b w:val="0"/>
          <w:i w:val="0"/>
          <w:color w:val="000000"/>
          <w:sz w:val="22"/>
          <w:u w:val="none"/>
        </w:rPr>
        <w:t>. The Company shall not sell, offer for sale or solicit offers to buy or otherwise negotiate in respect of any security (as defined in Section 2 of the Securities Act) that would be integrated with the offer or sale of the Securities in a manner that would require the registration under the Securities Act of the sale of the Securities or that would be integrated with the offer or sale of the Securities for purposes of the rules and regulations of any Trading Market such that it would require shareholder approval prior to the closing of such other transaction unless shareholder approval is obtained before the closing of such subsequent transaction.</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Securities Laws Disclosure; Publicity</w:t>
      </w:r>
      <w:r>
        <w:rPr>
          <w:rFonts w:ascii="Times New Roman" w:eastAsia="Times New Roman" w:hAnsi="Times New Roman" w:cs="Times New Roman"/>
          <w:b w:val="0"/>
          <w:i w:val="0"/>
          <w:color w:val="000000"/>
          <w:sz w:val="22"/>
          <w:u w:val="none"/>
        </w:rPr>
        <w:t>. The Company shall (a) by the Disclosure Time issue a press release disclosing the material terms of the transactions contemplated hereby, and (b) file a Current Report on Form 8-K, including the Transaction Documents as exhibits thereto, with the Commission within the time required by the Exchange Act. From and after the issuance of such press release, the Company represents to the Purchasers, as of the Closing, that it shall have publicly disclosed all material, non-public information delivered to any of the Purchasers by the Company or any of its Subsidiaries, or any of their respective officers, directors, employees or agents in connection with the transactions contemplated by the Transaction Documents. In addition, effective upon the issuance of such press release, the Company acknowledges and agrees that any and all confidentiality or similar obligations under any agreement, whether written or oral, between the Company, any of its Subsidiaries or any of their respective officers, directors, agents, employees or Affiliates on the one hand, and any of the Purchasers or any of their Affiliates on the other hand, shall terminate. The Company understands and confirms that each Purchaser shall be relying on the foregoing covenant in effecting transactions in securities of the Company. The Company and each Purchaser shall consult with each other in issuing any other press releases with respect to the transactions contemplated hereby, and neither the Company nor any Purchaser shall issue any such press release nor otherwise make any such public statement without the prior consent of the Company, with respect to any press release of any Purchaser, or without the prior consent of each Purchaser, with respect to any press release of the Company, which consent shall not unreasonably be withheld or delayed, except that if such disclosure is required by law, in which case the disclosing party shall promptly provide the other party with prior notice of such public statement or communication. Notwithstanding the foregoing, the Company shall not publicly disclose the name of any Purchaser, or include the name of any Purchaser in any filing with the Commission or any regulatory agency or Trading Market, without the prior written consent of such Purchaser, except (a) as required by federal securities law in connection with (i) any registration statement contemplated by the Registration Rights Agreement and (ii) the filing of final Transaction Documents with the Commission and (b) to the extent such disclosure is required by law or Trading Market regulations, in which case the Company shall provide the Purchasers with prior notice of such disclosure permitted under this clause (b).</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Shareholder Rights Plan</w:t>
      </w:r>
      <w:r>
        <w:rPr>
          <w:rFonts w:ascii="Times New Roman" w:eastAsia="Times New Roman" w:hAnsi="Times New Roman" w:cs="Times New Roman"/>
          <w:b w:val="0"/>
          <w:i w:val="0"/>
          <w:color w:val="000000"/>
          <w:sz w:val="22"/>
          <w:u w:val="none"/>
        </w:rPr>
        <w:t>. No claim will be made or enforced by the Company or, with the consent of the Company, any other Person, that any Purchaser is an “</w:t>
      </w:r>
      <w:r>
        <w:rPr>
          <w:rFonts w:ascii="Times New Roman" w:eastAsia="Times New Roman" w:hAnsi="Times New Roman" w:cs="Times New Roman"/>
          <w:b w:val="0"/>
          <w:i w:val="0"/>
          <w:color w:val="000000"/>
          <w:sz w:val="22"/>
          <w:u w:val="single"/>
        </w:rPr>
        <w:t>Acquiring Person</w:t>
      </w:r>
      <w:r>
        <w:rPr>
          <w:rFonts w:ascii="Times New Roman" w:eastAsia="Times New Roman" w:hAnsi="Times New Roman" w:cs="Times New Roman"/>
          <w:b w:val="0"/>
          <w:i w:val="0"/>
          <w:color w:val="000000"/>
          <w:sz w:val="22"/>
          <w:u w:val="none"/>
        </w:rPr>
        <w:t>” under any control share acquisition, business combination, poison pill (including any distribution under a rights agreement) or similar anti-takeover plan or arrangement in effect or hereafter adopted by the Company, or that any Purchaser could be deemed to trigger the provisions of any such plan or arrangement, by virtue of receiving Securities under the Transaction Documents or under any other agreement between the Company and the Purchasers.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Non-Public Information</w:t>
      </w:r>
      <w:r>
        <w:rPr>
          <w:rFonts w:ascii="Times New Roman" w:eastAsia="Times New Roman" w:hAnsi="Times New Roman" w:cs="Times New Roman"/>
          <w:b w:val="0"/>
          <w:i w:val="0"/>
          <w:color w:val="000000"/>
          <w:sz w:val="22"/>
          <w:u w:val="none"/>
        </w:rPr>
        <w:t>. Except with respect to the material terms and conditions of the transactions contemplated by the Transaction Documents, which shall be disclosed pursuant to Section 4.4, the Company covenants and agrees that neither it, nor any other Person acting on its behalf will provide any Purchaser or its agents or counsel with any information that constitutes, or the Company reasonably believes constitutes, material non-public information, unless prior thereto such Purchaser shall have consented to the receipt of such information and agreed with the Company to keep such information confidential. The Company understands and confirms that each Purchaser shall be relying on the foregoing covenant in effecting transactions in securities of the Company. To the extent that the Company, any of its Subsidiaries, or any of their respective officers, directors, agents, employees or Affiliates delivers any material, non-public information to a Purchaser without such Purchaser’s consent, the Company hereby covenants and agrees that such Purchaser shall not have any duty of confidentiality to the Company, any of its Subsidiaries, or any of their respective officers, directors, agents, employees or Affiliates, or a duty to the Company, any of its Subsidiaries or any of their respective officers, directors, agents, employees or Affiliates not to trade on the basis of, such material, non-public information, provided that such Purchaser shall remain subject to applicable law. To the extent that any notice provided pursuant to any Transaction Document constitutes, or contains, material, non-public information regarding the Company or any Subsidiaries, the Company shall simultaneously file such material non-public information with the Commission pursuant to a Report on Form 8-K. The Company understands and confirms that each Purchaser shall be relying on the foregoing covenant in effecting transactions in securities of the Company.</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Use of Proceeds</w:t>
      </w:r>
      <w:r>
        <w:rPr>
          <w:rFonts w:ascii="Times New Roman" w:eastAsia="Times New Roman" w:hAnsi="Times New Roman" w:cs="Times New Roman"/>
          <w:b w:val="0"/>
          <w:i w:val="0"/>
          <w:color w:val="000000"/>
          <w:sz w:val="22"/>
          <w:u w:val="none"/>
        </w:rPr>
        <w:t>. The Company shall use the net proceeds from the sale of the Securities hereunder for working capital, the retirement of the remaining outstanding shares of the Company’s Series D Preferred Stock and other general corporate purposes and shall not use such proceeds: (a) for the redemption of any Common Stock or Common Stock Equivalents (other than the retirement of the Series D Preferred Stock as contemplated hereby), (b) for the settlement of any outstanding litigation or (c) in violation of FCPA or OFAC regulations.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Indemnification of Purchaser</w:t>
      </w:r>
      <w:r>
        <w:rPr>
          <w:rFonts w:ascii="Times New Roman" w:eastAsia="Times New Roman" w:hAnsi="Times New Roman" w:cs="Times New Roman"/>
          <w:b w:val="0"/>
          <w:i w:val="0"/>
          <w:color w:val="000000"/>
          <w:sz w:val="22"/>
          <w:u w:val="none"/>
        </w:rPr>
        <w:t>. Subject to the provisions of this Section 4.8, the Company will indemnify and hold each Purchaser and its directors, officers, shareholders, members, partners, employees and agents (and any other Persons with a functionally equivalent role of a Person holding such titles notwithstanding a lack of such title or any other title), each Person who controls such Purchaser (within the meaning of Section 15 of the Securities Act and Section 20 of the Exchange Act), and the directors, officers, shareholders, agents, members, partners or employees (and any other Persons with a functionally equivalent role of a Person holding such titles notwithstanding a lack of such title or any other title) of such controlling persons (each, a “</w:t>
      </w:r>
      <w:r>
        <w:rPr>
          <w:rFonts w:ascii="Times New Roman" w:eastAsia="Times New Roman" w:hAnsi="Times New Roman" w:cs="Times New Roman"/>
          <w:b w:val="0"/>
          <w:i w:val="0"/>
          <w:color w:val="000000"/>
          <w:sz w:val="22"/>
          <w:u w:val="single"/>
        </w:rPr>
        <w:t>Purchaser Party</w:t>
      </w:r>
      <w:r>
        <w:rPr>
          <w:rFonts w:ascii="Times New Roman" w:eastAsia="Times New Roman" w:hAnsi="Times New Roman" w:cs="Times New Roman"/>
          <w:b w:val="0"/>
          <w:i w:val="0"/>
          <w:color w:val="000000"/>
          <w:sz w:val="22"/>
          <w:u w:val="none"/>
        </w:rPr>
        <w:t>”) harmless from any and all losses, liabilities, obligations, claims, contingencies, damages, costs and expenses, including all judgments, amounts paid in settlements, court costs and reasonable and documented attorneys’ fees and costs of investigation that any such Purchaser Party may suffer or incur as a result of or relating to (a) any breach of any of the representations, warranties, covenants or agreements made by the Company in this Agreement or in the other Transaction Documents or (b) any action instituted against the Purchaser Parties in any capacity, or any of them or their respective Affiliates, by any shareholder of the Company who is not an Affiliate of such Purchaser Party, with respect to any of the transactions contemplated by the Transaction Documents (unless such action is based upon a material breach of such Purchaser Party’s representations, warranties or covenants under the Transaction Documents or any agreements or understandings such Purchaser Party may have with any such shareholder or any violations by such Purchaser Party of state or federal securities laws or any conduct by such Purchaser Party which is finally judicially determined to constitute fraud, gross negligence or willful misconduct). If any action shall be brought against any Purchaser Party in respect of which indemnity may be sought pursuant to this Agreement, such Purchaser Party shall promptly notify the Company in writing, and the Company shall have the right to assume the defense thereof with counsel of its own choosing reasonably acceptable to such Purchaser Party. Any Purchaser Party shall have the right to engage separate counsel in any such action and participate in the defense thereof, but the fees and expenses of such counsel shall be at the expense of such Purchaser Party except to the extent that (x) the engagement thereof has been specifically authorized by the Company in writing, (y) the Company has failed after a reasonable period of time to assume such defense and to engage counsel or (z) in such action there is, in the reasonable opinion of counsel, a material conflict on any material issue between the position of the Company and the position of such Purchaser Party, in which case the Company shall be responsible for the reasonable fees and expenses of no more than one such separate counsel. The Company will not be liable to any Purchaser Party under this Agreement  (1) for any settlement by a Purchaser Party effected without the Company’s prior written consent, which shall not be unreasonably withheld or delayed; or (2) to the extent, but only to the extent that a loss, claim, damage or liability is attributable to any Purchaser Party’s breach of any of the representations, warranties, covenants or agreements made by such Purchaser Party in this Agreement or in the other Transaction Documents. The indemnification required by this Section 4.8 shall be made by periodic payments of the amount thereof during the course of the investigation or defense, as and when bills are received or are incurred. The indemnity agreements contained herein shall be in addition to any cause of action or similar right of any Purchaser Party against the Company or others and any liabilities the Company may be subject to pursuant to law. The Company will not, except with the consent of any Purchaser Party, which consent shall not be unreasonably withheld, conditioned or delayed, consent to entry of any judgment or enter into any settlement with respect to any pending proceeding in respect to which a Purchaser Party is a party and indemnity could have been sought hereunder by such Purchaser Party, unless such settlement or judgment  (i) imposes no liability or obligation on the Purchaser Party, (ii) includes an unconditional release from the party bringing such indemnified claims of such Purchaser Party from all liability in respect of or arising out of such claims or proceedings or claims or proceedings that are the subject matter of such proceeding and (iii) does not include any admission of fault, culpability, wrongdoing or malfeasance by or on behalf of the Purchaser Party.</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Reservation of Common Stock</w:t>
      </w:r>
      <w:r>
        <w:rPr>
          <w:rFonts w:ascii="Times New Roman" w:eastAsia="Times New Roman" w:hAnsi="Times New Roman" w:cs="Times New Roman"/>
          <w:b w:val="0"/>
          <w:i w:val="0"/>
          <w:color w:val="000000"/>
          <w:sz w:val="22"/>
          <w:u w:val="none"/>
        </w:rPr>
        <w:t>. As of the date hereof, the Company has reserved and the Company shall continue to reserve and keep available at all times, free of preemptive rights, a sufficient number of shares of Common Stock for the purpose of enabling the Company to issue Shares pursuant to this Agreement and to issue the Pre-Funded Warrant Shares pursuant to any exercise of the Pre-Funded Warrants.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Listing of Common Stock</w:t>
      </w:r>
      <w:r>
        <w:rPr>
          <w:rFonts w:ascii="Times New Roman" w:eastAsia="Times New Roman" w:hAnsi="Times New Roman" w:cs="Times New Roman"/>
          <w:b w:val="0"/>
          <w:i w:val="0"/>
          <w:color w:val="000000"/>
          <w:sz w:val="22"/>
          <w:u w:val="none"/>
        </w:rPr>
        <w:t>. The Company hereby agrees to use commercially reasonable efforts to maintain the listing or quotation of the Common Stock on the Trading Market on which it is currently listed, and prior to the Closing, the Company shall have applied to list or quote all of the Shares and Pre-Funded Warrant Shares on such Trading Market and promptly secure the listing of all of the Shares and Pre-Funded Warrant Shares on such Trading Market. The Company further agrees, if the Company applies to have the Common Stock traded on any other Trading Market, it will then include in such application all of the Shares and Pre-Funded Warrant Shares, and will take such other action as is necessary to cause all of the Shares and Pre-Funded Warrant Shares to be listed or quoted on such other Trading Market as promptly as possible. The Company will then take all action reasonably necessary to continue the listing and trading of its Common Stock on a Trading Market and will comply in all respects with the Company’s reporting, filing and other obligations under the bylaws or rules of the Trading Market. The Company agrees to maintain the eligibility of the Common Stock for electronic transfer through the Depository Trust Company or another established clearing corporation, including, without limitation, by timely payment of fees to the Depository Trust Company or such other established clearing corporation in connection with such electronic transfer.</w:t>
      </w:r>
    </w:p>
    <w:p>
      <w:pPr>
        <w:pStyle w:val="ArticleSection2"/>
        <w:keepNext/>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Subsequent Equity Sales</w:t>
      </w:r>
      <w:r>
        <w:rPr>
          <w:rFonts w:ascii="Times New Roman" w:eastAsia="Times New Roman" w:hAnsi="Times New Roman" w:cs="Times New Roman"/>
          <w:b w:val="0"/>
          <w:i w:val="0"/>
          <w:color w:val="000000"/>
          <w:sz w:val="22"/>
          <w:u w:val="none"/>
        </w:rPr>
        <w: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From the date hereof until 30 days after the date on which a Registration Statement registering for resale all of the Shares and Pre-Funded Warrant Shares is declared effective by the Commission (such applicable period, the “</w:t>
      </w:r>
      <w:r>
        <w:rPr>
          <w:rFonts w:ascii="Times New Roman" w:eastAsia="Times New Roman" w:hAnsi="Times New Roman" w:cs="Times New Roman"/>
          <w:b w:val="0"/>
          <w:i w:val="0"/>
          <w:color w:val="000000"/>
          <w:sz w:val="22"/>
          <w:u w:val="single"/>
        </w:rPr>
        <w:t>Restricted Period</w:t>
      </w:r>
      <w:r>
        <w:rPr>
          <w:rFonts w:ascii="Times New Roman" w:eastAsia="Times New Roman" w:hAnsi="Times New Roman" w:cs="Times New Roman"/>
          <w:b w:val="0"/>
          <w:i w:val="0"/>
          <w:color w:val="000000"/>
          <w:sz w:val="22"/>
          <w:u w:val="none"/>
        </w:rPr>
        <w:t>”), neither the Company nor any Subsidiary shall (i) issue, enter into any agreement to issue or announce the issuance or proposed issuance of any shares of Common Stock or Common Stock Equivalents or (ii) file any registration statement or any amendment or supplement thereto, in each case other than as contemplated pursuant to the Registration Rights Agreement.</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During the Restricted Period, the Company shall be prohibited from effecting or entering into an agreement to effect any issuance by the Company or any of its Subsidiaries of shares of Common Stock or Common Stock Equivalents (or a combination of units thereof) involving a Variable Rate Transaction. “</w:t>
      </w:r>
      <w:r>
        <w:rPr>
          <w:rFonts w:ascii="Times New Roman" w:eastAsia="Times New Roman" w:hAnsi="Times New Roman" w:cs="Times New Roman"/>
          <w:b w:val="0"/>
          <w:i w:val="0"/>
          <w:color w:val="000000"/>
          <w:sz w:val="22"/>
          <w:u w:val="single"/>
        </w:rPr>
        <w:t>Variable Rate Transaction</w:t>
      </w:r>
      <w:r>
        <w:rPr>
          <w:rFonts w:ascii="Times New Roman" w:eastAsia="Times New Roman" w:hAnsi="Times New Roman" w:cs="Times New Roman"/>
          <w:b w:val="0"/>
          <w:i w:val="0"/>
          <w:color w:val="000000"/>
          <w:sz w:val="22"/>
          <w:u w:val="none"/>
        </w:rPr>
        <w:t xml:space="preserve">” means a transaction in which the Company (i) issues or sells any debt or equity securities that are convertible into, exchangeable or exercisable for, or include the right to receive additional shares of Common Stock either (A) at a conversion price, exercise price or exchange rate or other price that is based upon and/or varies with the trading prices of or quotations for the shares of Common Stock at any time after the initial issuance of such debt or equity securities, or (B) with a conversion, exercise or exchange price that is subject to being reset at some future date after the initial issuance of such debt or equity security or upon the occurrence of specified or contingent events directly or indirectly related to the business of the Company or the market for the shares of Common Stock or (ii) enters into, or effects a transaction under, any agreement, including, but not limited to, an equity line of credit, whereby the Company may issue securities at a future determined price. Any Purchaser shall be entitled to obtain injunctive relief against the Company to preclude any such issuance, which remedy shall be in addition to any right to collect damages. </w:t>
      </w:r>
    </w:p>
    <w:p>
      <w:pPr>
        <w:pStyle w:val="ArticleSection3"/>
        <w:keepNext w:val="0"/>
        <w:keepLines w:val="0"/>
        <w:pageBreakBefore w:val="0"/>
        <w:widowControl/>
        <w:numPr>
          <w:ilvl w:val="2"/>
          <w:numId w:val="13"/>
        </w:numPr>
        <w:spacing w:before="0" w:after="120" w:line="240" w:lineRule="auto"/>
        <w:ind w:left="72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Notwithstanding the foregoing, this Section 4.11 shall not apply in respect of an Exempt Issuance, except that no Variable Rate Transaction shall be an Exempt Issuance.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Equal Treatment of Purchasers.</w:t>
      </w:r>
      <w:r>
        <w:rPr>
          <w:rFonts w:ascii="Times New Roman" w:eastAsia="Times New Roman" w:hAnsi="Times New Roman" w:cs="Times New Roman"/>
          <w:b w:val="0"/>
          <w:i w:val="0"/>
          <w:color w:val="000000"/>
          <w:sz w:val="22"/>
          <w:u w:val="none"/>
        </w:rPr>
        <w:t xml:space="preserve"> No consideration (including any modification of any Transaction Document) shall be offered or paid to any Person to amend or consent to a waiver or modification of any provision of the Transaction Documents unless the same consideration is also offered to all of the parties to the Transaction Documents. For clarification purposes, this provision constitutes a separate right granted to each Purchaser by the Company and negotiated separately by each Purchaser, and is intended for the Company to treat the Purchasers as a class and shall not in any way be construed as the Purchasers acting in concert or as a group with respect to the purchase, disposition or voting of Securities or otherwise.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Certain Transactions and Confidentiality</w:t>
      </w:r>
      <w:r>
        <w:rPr>
          <w:rFonts w:ascii="Times New Roman" w:eastAsia="Times New Roman" w:hAnsi="Times New Roman" w:cs="Times New Roman"/>
          <w:b w:val="0"/>
          <w:i w:val="0"/>
          <w:color w:val="000000"/>
          <w:sz w:val="22"/>
          <w:u w:val="none"/>
        </w:rPr>
        <w:t>. Each Purchaser covenants that neither it nor any Affiliate acting on its behalf or pursuant to any understanding with it will execute any purchases or sales, including Short Sales of any of the Company’s securities during the period commencing with the execution of this Agreement and ending at such time that the transactions contemplated by this Agreement are first publicly announced pursuant to the initial press release as described in Section 4.4. Each Purchaser, severally and not jointly with the other Purchasers, covenants that until such time as the transactions contemplated by this Agreement are publicly disclosed by the Company pursuant to the initial press release as described in Section 4.4, such Purchaser will maintain the confidentiality of the existence and terms of this transaction. Notwithstanding the foregoing, and notwithstanding anything contained in this Agreement to the contrary, the Company expressly acknowledges and agrees that (i) no Purchaser makes any representation, warranty or covenant hereby that it will engage in effecting transactions in any securities of the Company after the time that the transactions contemplated by this Agreement are first publicly announced pursuant to the initial press release as described in Section 4.4, (ii) no Purchaser shall be restricted or prohibited by this Agreement from effecting any transactions in any securities of the Company in accordance with applicable securities laws from and after the time that the transactions contemplated by this Agreement are first publicly announced pursuant to the initial press release as described in Section 4.4 and (iii) no Purchaser shall have any duty of confidentiality or duty not to trade in the securities of the Company to the Company or its Subsidiaries after the issuance of the initial press release as described in Section 4.4. Notwithstanding the foregoing, (A) in the case of a Purchaser is a multi-managed investment vehicle whereby separate portfolio managers manage separate portions of such Purchaser’s assets, the covenant set forth above shall only apply with respect to the portion of assets managed by the portfolio manager that made the investment decision to purchase the Securities covered by this Agreement and (B) in the case of a Purchaser that has implemented internal information barriers pursuant to information controls policy to “wall-off” certain trading personnel, the representations set forth above shall only apply to such walled-off trading personnel.</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none"/>
        </w:rPr>
        <w:t>Exercise Procedures. The form of Notice of Exercise included in the Pre-Funded Warrants set forth the totality of the procedures required of the Purchasers in order to exercise the Pre-Funded Warrants. No additional legal opinion, other information or instructions shall be required of the Purchasers to exercise their Pre-Funded Warrants. Without limiting the preceding sentences, no ink-original Notice of Exercise shall be required, nor shall any medallion guarantee (or other type of guarantee or notarization) of any Notice of Exercise form be required in order to exercise the Pre-Funded Warrants. The Company shall honor exercises of the Pre-Funded Warrants and shall deliver Pre-Funded Warrant Shares in accordance with the terms, conditions and time periods set forth in the Transaction Documents.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Form D; Blue Sky Filings</w:t>
      </w:r>
      <w:r>
        <w:rPr>
          <w:rFonts w:ascii="Times New Roman" w:eastAsia="Times New Roman" w:hAnsi="Times New Roman" w:cs="Times New Roman"/>
          <w:b w:val="0"/>
          <w:i w:val="0"/>
          <w:color w:val="000000"/>
          <w:sz w:val="22"/>
          <w:u w:val="none"/>
        </w:rPr>
        <w:t>. The Company agrees to timely file a Form D with respect to the offering of the Securities as required under Regulation D and to provide a copy thereof, promptly upon request of any Purchaser. The Company shall take such action as the Company shall reasonably determine is necessary in order to obtain an exemption for, or to qualify the Securities for, sale to the Purchasers at the Closing under applicable securities or “Blue Sky” laws of the states of the United States and shall provide evidence of such actions promptly upon request of any Purchaser.</w:t>
      </w:r>
    </w:p>
    <w:p>
      <w:pPr>
        <w:pStyle w:val="ArticleSection1"/>
        <w:keepNext/>
        <w:keepLines w:val="0"/>
        <w:pageBreakBefore w:val="0"/>
        <w:widowControl/>
        <w:numPr>
          <w:ilvl w:val="0"/>
          <w:numId w:val="13"/>
        </w:numPr>
        <w:spacing w:before="0" w:after="120" w:line="240" w:lineRule="auto"/>
        <w:ind w:left="0" w:right="0" w:firstLine="0"/>
        <w:jc w:val="center"/>
        <w:outlineLvl w:val="9"/>
        <w:rPr>
          <w:rFonts w:ascii="Times New Roman" w:eastAsia="Times New Roman" w:hAnsi="Times New Roman" w:cs="Times New Roman"/>
          <w:b/>
          <w:i w:val="0"/>
          <w:color w:val="000000"/>
          <w:sz w:val="22"/>
          <w:u w:val="none"/>
        </w:rPr>
      </w:pPr>
      <w:r>
        <w:rPr>
          <w:rFonts w:ascii="Times New Roman" w:eastAsia="Times New Roman" w:hAnsi="Times New Roman" w:cs="Times New Roman"/>
          <w:b w:val="0"/>
          <w:i w:val="0"/>
          <w:color w:val="000000"/>
          <w:sz w:val="22"/>
          <w:u w:val="none"/>
        </w:rPr>
        <w:br/>
      </w:r>
      <w:r>
        <w:rPr>
          <w:rFonts w:ascii="Times New Roman" w:eastAsia="Times New Roman" w:hAnsi="Times New Roman" w:cs="Times New Roman"/>
          <w:b w:val="0"/>
          <w:i w:val="0"/>
          <w:color w:val="000000"/>
          <w:sz w:val="22"/>
          <w:u w:val="none"/>
        </w:rPr>
        <w:t>MISCELLANEOUS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Termination</w:t>
      </w:r>
      <w:r>
        <w:rPr>
          <w:rFonts w:ascii="Times New Roman" w:eastAsia="Times New Roman" w:hAnsi="Times New Roman" w:cs="Times New Roman"/>
          <w:b w:val="0"/>
          <w:i w:val="0"/>
          <w:color w:val="000000"/>
          <w:sz w:val="22"/>
          <w:u w:val="none"/>
        </w:rPr>
        <w:t>. This Agreement may be terminated by the Company or by any Purchaser, as to such Purchaser’s obligations hereunder only, and without any effect whatsoever on the obligations between the Company and the other Purchasers, by written notice to the other parties, if the Closing has not been consummated on or before the fifth (5</w:t>
      </w:r>
      <w:r>
        <w:rPr>
          <w:rFonts w:ascii="Times New Roman" w:eastAsia="Times New Roman" w:hAnsi="Times New Roman" w:cs="Times New Roman"/>
          <w:b w:val="0"/>
          <w:i w:val="0"/>
          <w:color w:val="000000"/>
          <w:sz w:val="22"/>
          <w:u w:val="none"/>
          <w:vertAlign w:val="superscript"/>
        </w:rPr>
        <w:t>th</w:t>
      </w:r>
      <w:r>
        <w:rPr>
          <w:rFonts w:ascii="Times New Roman" w:eastAsia="Times New Roman" w:hAnsi="Times New Roman" w:cs="Times New Roman"/>
          <w:b w:val="0"/>
          <w:i w:val="0"/>
          <w:color w:val="000000"/>
          <w:sz w:val="22"/>
          <w:u w:val="none"/>
        </w:rPr>
        <w:t xml:space="preserve">) Trading Day following the date hereof; </w:t>
      </w:r>
      <w:r>
        <w:rPr>
          <w:rFonts w:ascii="Times New Roman" w:eastAsia="Times New Roman" w:hAnsi="Times New Roman" w:cs="Times New Roman"/>
          <w:b w:val="0"/>
          <w:i w:val="0"/>
          <w:color w:val="000000"/>
          <w:sz w:val="22"/>
          <w:u w:val="single"/>
        </w:rPr>
        <w:t>provided</w:t>
      </w:r>
      <w:r>
        <w:rPr>
          <w:rFonts w:ascii="Times New Roman" w:eastAsia="Times New Roman" w:hAnsi="Times New Roman" w:cs="Times New Roman"/>
          <w:b w:val="0"/>
          <w:i w:val="0"/>
          <w:color w:val="000000"/>
          <w:sz w:val="22"/>
          <w:u w:val="none"/>
        </w:rPr>
        <w:t xml:space="preserve">, </w:t>
      </w:r>
      <w:r>
        <w:rPr>
          <w:rFonts w:ascii="Times New Roman" w:eastAsia="Times New Roman" w:hAnsi="Times New Roman" w:cs="Times New Roman"/>
          <w:b w:val="0"/>
          <w:i w:val="0"/>
          <w:color w:val="000000"/>
          <w:sz w:val="22"/>
          <w:u w:val="single"/>
        </w:rPr>
        <w:t>however</w:t>
      </w:r>
      <w:r>
        <w:rPr>
          <w:rFonts w:ascii="Times New Roman" w:eastAsia="Times New Roman" w:hAnsi="Times New Roman" w:cs="Times New Roman"/>
          <w:b w:val="0"/>
          <w:i w:val="0"/>
          <w:color w:val="000000"/>
          <w:sz w:val="22"/>
          <w:u w:val="none"/>
        </w:rPr>
        <w:t>, that no such termination will affect the right of any party hereto to sue for any breach by any other party (or parties) hereto.</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Fees and Expenses</w:t>
      </w:r>
      <w:r>
        <w:rPr>
          <w:rFonts w:ascii="Times New Roman" w:eastAsia="Times New Roman" w:hAnsi="Times New Roman" w:cs="Times New Roman"/>
          <w:b w:val="0"/>
          <w:i w:val="0"/>
          <w:color w:val="000000"/>
          <w:sz w:val="22"/>
          <w:u w:val="none"/>
        </w:rPr>
        <w:t>. Except as expressly set forth in the Transaction Documents to the contrary, each party hereto shall pay the fees and expenses of its advisers, counsel, accountants and other experts, if any, and all other expenses incurred by such party incident to the negotiation, preparation, execution, delivery and performance of this Agreement. The Company shall pay all Transfer Agent fees (including, without limitation, any fees required for same-day processing of any instruction letter delivered by the Company and any exercise notice delivered by a Purchaser), stamp taxes and other taxes and duties levied in connection with the delivery of any Securities to the Purchasers.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Entire Agreement</w:t>
      </w:r>
      <w:r>
        <w:rPr>
          <w:rFonts w:ascii="Times New Roman" w:eastAsia="Times New Roman" w:hAnsi="Times New Roman" w:cs="Times New Roman"/>
          <w:b w:val="0"/>
          <w:i w:val="0"/>
          <w:color w:val="000000"/>
          <w:sz w:val="22"/>
          <w:u w:val="none"/>
        </w:rPr>
        <w:t>. The Transaction Documents, together with the exhibits and schedules thereto, contain the entire understanding of the parties hereto with respect to the subject matter hereof and thereof and supersede all prior agreements and understandings, oral or written, with respect to such matters, which such parties acknowledge have been merged into such documents, exhibits and schedules.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Notices</w:t>
      </w:r>
      <w:r>
        <w:rPr>
          <w:rFonts w:ascii="Times New Roman" w:eastAsia="Times New Roman" w:hAnsi="Times New Roman" w:cs="Times New Roman"/>
          <w:b w:val="0"/>
          <w:i w:val="0"/>
          <w:color w:val="000000"/>
          <w:sz w:val="22"/>
          <w:u w:val="none"/>
        </w:rPr>
        <w:t>. Any and all notices or other communications or deliveries required or permitted to be provided hereunder shall be in writing and shall be deemed given and effective on the earliest of: (a) the time of transmission, if such notice or communication is delivered via facsimile at the facsimile number or email attachment at the email address as set forth on the signature pages attached hereto at or prior to 5:30 p.m. (New York City time) on a Trading Day, (b) the next Trading Day after the time of transmission, if such notice or communication is delivered via facsimile at the facsimile number or email attachment at the email address as set forth on the signature pages attached hereto on a day that is not a Trading Day or later than 5:30 p.m. (New York City time) on any Trading Day, (c) the second (2</w:t>
      </w:r>
      <w:r>
        <w:rPr>
          <w:rFonts w:ascii="Times New Roman" w:eastAsia="Times New Roman" w:hAnsi="Times New Roman" w:cs="Times New Roman"/>
          <w:b w:val="0"/>
          <w:i w:val="0"/>
          <w:color w:val="000000"/>
          <w:sz w:val="22"/>
          <w:u w:val="none"/>
          <w:vertAlign w:val="superscript"/>
        </w:rPr>
        <w:t>nd</w:t>
      </w:r>
      <w:r>
        <w:rPr>
          <w:rFonts w:ascii="Times New Roman" w:eastAsia="Times New Roman" w:hAnsi="Times New Roman" w:cs="Times New Roman"/>
          <w:b w:val="0"/>
          <w:i w:val="0"/>
          <w:color w:val="000000"/>
          <w:sz w:val="22"/>
          <w:u w:val="none"/>
        </w:rPr>
        <w:t>) Trading Day following the date of mailing, if sent by U.S. nationally recognized overnight courier service or (d) upon actual receipt by the party to whom such notice is required to be given. The address for such notices and communications shall be as set forth on the signature pages attached hereto. To the extent that any notice provided pursuant to any Transaction Document constitutes, or contains, material, non-public information regarding the Company or any Subsidiaries, the Company shall simultaneously file such notice with the Commission pursuant to a Report on Form 8-K.</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Amendments; Waivers</w:t>
      </w:r>
      <w:r>
        <w:rPr>
          <w:rFonts w:ascii="Times New Roman" w:eastAsia="Times New Roman" w:hAnsi="Times New Roman" w:cs="Times New Roman"/>
          <w:b w:val="0"/>
          <w:i w:val="0"/>
          <w:color w:val="000000"/>
          <w:sz w:val="22"/>
          <w:u w:val="none"/>
        </w:rPr>
        <w:t>. No provision of this Agreement may be waived, modified, supplemented or amended except in a written instrument signed, in the case of an amendment, by the Company and Purchasers which purchased at least 50.1% in interest of the Shares and Pre-Funded Warrants based on the initial Subscription Amounts hereunder (or, prior to the Closing, the Company and each Purchaser) or, in the case of a waiver, by the party against whom enforcement of any such waived provision is sought, provided that if any amendment, modification or waiver disproportionately and adversely impacts a Purchaser (or group of Purchasers), the consent of such disproportionately impacted Purchaser (or group of Purchasers) shall also be required. No waiver of any default with respect to any provision, condition or requirement of this Agreement shall be deemed to be a continuing waiver in the future or a waiver of any subsequent default or a waiver of any other provision, condition or requirement hereof, nor shall any delay or omission of any party to exercise any right hereunder in any manner impair the exercise of any such right. Any proposed amendment or waiver that disproportionately, materially and adversely affects the rights and obligations of any Purchaser relative to the comparable rights and obligations of the other Purchasers shall require the prior written consent of such adversely affected Purchaser. Any amendment effected in accordance with this Section 5.5 shall be binding upon each Purchaser and holder of Securities and the Company.</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Headings</w:t>
      </w:r>
      <w:r>
        <w:rPr>
          <w:rFonts w:ascii="Times New Roman" w:eastAsia="Times New Roman" w:hAnsi="Times New Roman" w:cs="Times New Roman"/>
          <w:b w:val="0"/>
          <w:i w:val="0"/>
          <w:color w:val="000000"/>
          <w:sz w:val="22"/>
          <w:u w:val="none"/>
        </w:rPr>
        <w:t>. The headings herein are for convenience only, do not constitute a part of this Agreement and shall not be deemed to limit or affect any of the provisions hereof.</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Successors and Assigns</w:t>
      </w:r>
      <w:r>
        <w:rPr>
          <w:rFonts w:ascii="Times New Roman" w:eastAsia="Times New Roman" w:hAnsi="Times New Roman" w:cs="Times New Roman"/>
          <w:b w:val="0"/>
          <w:i w:val="0"/>
          <w:color w:val="000000"/>
          <w:sz w:val="22"/>
          <w:u w:val="none"/>
        </w:rPr>
        <w:t>. This Agreement shall be binding upon and inure to the benefit of the parties hereto and their respective successors and permitted assigns. The Company may not assign this Agreement or any rights or obligations hereunder without the prior written consent of each Purchaser (other than by merger). Any Purchaser may assign any or all of its rights under this Agreement to any Person to whom such Purchaser assigns or transfers any Securities, provided that such transferee agrees in writing to be bound, with respect to the transferred Securities, by the provisions of the Transaction Documents that apply to the “Purchasers” (other than in respect of a transfer pursuant to an effective registration statement).</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No Third-Party Beneficiaries</w:t>
      </w:r>
      <w:r>
        <w:rPr>
          <w:rFonts w:ascii="Times New Roman" w:eastAsia="Times New Roman" w:hAnsi="Times New Roman" w:cs="Times New Roman"/>
          <w:b w:val="0"/>
          <w:i w:val="0"/>
          <w:color w:val="000000"/>
          <w:sz w:val="22"/>
          <w:u w:val="none"/>
        </w:rPr>
        <w:t>. The Placement Agent shall be the third-party beneficiary of the representations and warranties of the Company in Section 3.1 and the representations and warranties of the Purchasers in Section 3.2. This Agreement is intended for the benefit of the parties hereto and their respective successors and permitted assigns and is not for the benefit of, nor may any provision hereof be enforced by, any other Person, except as otherwise set forth in Section 4.8 and this Section 5.8.</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Governing Law</w:t>
      </w:r>
      <w:r>
        <w:rPr>
          <w:rFonts w:ascii="Times New Roman" w:eastAsia="Times New Roman" w:hAnsi="Times New Roman" w:cs="Times New Roman"/>
          <w:b w:val="0"/>
          <w:i w:val="0"/>
          <w:color w:val="000000"/>
          <w:sz w:val="22"/>
          <w:u w:val="none"/>
        </w:rPr>
        <w:t>. All questions concerning the construction, validity, enforcement and interpretation of the Transaction Documents shall be governed by and construed and enforced in accordance with the internal laws of the State of New York, without regard to the principles of conflicts of law thereof. Each party hereto agrees that all Proceedings concerning the interpretations, enforcement and defense of the transactions contemplated by this Agreement and any other Transaction Documents (whether brought against a party hereto or its respective affiliates, directors, officers, shareholders, partners, members, employees or agents) shall be commenced exclusively in the state and federal courts sitting in the City of New York. Each party hereto hereby irrevocably submits to the exclusive jurisdiction of the state and federal courts sitting in the City of New York, Borough of Manhattan for the adjudication of any dispute hereunder or in connection herewith or with any transaction contemplated hereby or discussed herein (including with respect to the enforcement of any of the Transaction Documents), and hereby irrevocably waives, and agrees not to assert in any Action or Proceeding, any claim that it is not personally subject to the jurisdiction of any such court, that such Action or Proceeding is improper or is an inconvenient venue for such Proceeding. Each party hereto hereby irrevocably waives personal service of process and consents to process being served in any such Action or Proceeding by mailing a copy thereof via registered or certified mail or overnight delivery (with evidence of delivery) to such party at the address in effect for notices to it under this Agreement and agrees that such service shall constitute good and sufficient service of process and notice thereof. Nothing contained herein shall be deemed to limit in any way any right to serve process in any other manner permitted by law. If any party hereto shall commence an Action or Proceeding to enforce any provisions of the Transaction Documents, then, in addition to the obligations of the Company under Section 4.8, the prevailing party in such Action or Proceeding shall be reimbursed by the non-prevailing party for its reasonable attorneys’ fees and other costs and expenses incurred with the investigation, preparation and prosecution of such Action or Proceeding.</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Survival</w:t>
      </w:r>
      <w:r>
        <w:rPr>
          <w:rFonts w:ascii="Times New Roman" w:eastAsia="Times New Roman" w:hAnsi="Times New Roman" w:cs="Times New Roman"/>
          <w:b w:val="0"/>
          <w:i w:val="0"/>
          <w:color w:val="000000"/>
          <w:sz w:val="22"/>
          <w:u w:val="none"/>
        </w:rPr>
        <w:t>. The representations and warranties contained herein shall survive the Closing and the delivery of the Securities for a period of five (5) years from the Closing.</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Execution</w:t>
      </w:r>
      <w:r>
        <w:rPr>
          <w:rFonts w:ascii="Times New Roman" w:eastAsia="Times New Roman" w:hAnsi="Times New Roman" w:cs="Times New Roman"/>
          <w:b w:val="0"/>
          <w:i w:val="0"/>
          <w:color w:val="000000"/>
          <w:sz w:val="22"/>
          <w:u w:val="none"/>
        </w:rPr>
        <w:t>. This Agreement may be executed in two or more counterparts, all of which when taken together shall be considered one and the same agreement and shall become effective when counterparts have been signed by each party hereto and delivered to the other party hereto, it being understood that the parties hereto need not sign the same counterpart. In the event that any signature is delivered by facsimile transmission or by e-mail delivery of a “.pdf” format data file, such signature shall create a valid and binding obligation of the party executing (or on whose behalf such signature is executed) with the same force and effect as if such facsimile or “.pdf” signature page was an original thereof.</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Severability</w:t>
      </w:r>
      <w:r>
        <w:rPr>
          <w:rFonts w:ascii="Times New Roman" w:eastAsia="Times New Roman" w:hAnsi="Times New Roman" w:cs="Times New Roman"/>
          <w:b w:val="0"/>
          <w:i w:val="0"/>
          <w:color w:val="000000"/>
          <w:sz w:val="22"/>
          <w:u w:val="none"/>
        </w:rPr>
        <w:t>. If any term, provision, covenant or restriction of this Agreement is held by a court of competent jurisdiction to be invalid, illegal, void or unenforceable, the remainder of the terms, provisions, covenants and restrictions set forth herein shall remain in full force and effect and shall in no way be affected, impaired or invalidated, and the parties hereto shall use their commercially reasonable efforts to find and employ an alternative means to achieve the same or substantially the same result as that contemplated by such term, provision, covenant or restriction. It is hereby stipulated and declared to be the intention of the parties that they would have executed the remaining terms, provisions, covenants and restrictions without including any of such that may be hereafter declared invalid, illegal, void or unenforceable.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Rescission and Withdrawal Right</w:t>
      </w:r>
      <w:r>
        <w:rPr>
          <w:rFonts w:ascii="Times New Roman" w:eastAsia="Times New Roman" w:hAnsi="Times New Roman" w:cs="Times New Roman"/>
          <w:b w:val="0"/>
          <w:i w:val="0"/>
          <w:color w:val="000000"/>
          <w:sz w:val="22"/>
          <w:u w:val="none"/>
        </w:rPr>
        <w:t>. Notwithstanding anything to the contrary contained in (and without limiting any similar provisions of) any of the other Transaction Documents, whenever any Purchaser exercises a right, election, demand or option under a Transaction Document and the Company does not timely perform its related obligations within the periods therein provided, then such Purchaser may rescind or withdraw, in its sole discretion from time to time upon written notice to the Company, any relevant notice, demand or election in whole or in part without prejudice to its future actions and rights; provided, however, that in the case of a rescission of an exercise of a Pre-Funded Warrant, the applicable Purchaser shall be required to return any shares of Common Stock subject to any such rescinded exercise notice concurrently with the return to such Purchaser of the aggregate exercise price paid to the Company for such shares and the restoration of such Purchaser’s right to acquire such shares pursuant to such Pre-Funded Warrant (including, issuance of a replacement warrant certificate evidencing such restored right).</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Replacement of Securities</w:t>
      </w:r>
      <w:r>
        <w:rPr>
          <w:rFonts w:ascii="Times New Roman" w:eastAsia="Times New Roman" w:hAnsi="Times New Roman" w:cs="Times New Roman"/>
          <w:b w:val="0"/>
          <w:i w:val="0"/>
          <w:color w:val="000000"/>
          <w:sz w:val="22"/>
          <w:u w:val="none"/>
        </w:rPr>
        <w:t>. If any certificate or instrument evidencing any Securities is mutilated, lost, stolen or destroyed, the Company shall issue or cause to be issued in exchange and substitution for and upon cancellation thereof (in the case of mutilation), or in lieu of and substitution therefor, a new certificate or instrument, but only upon receipt of evidence reasonably satisfactory to the Company of such loss, theft or destruction. The applicant for a new certificate or instrument under such circumstances shall also pay any reasonable third-party costs (including customary indemnity) associated with the issuance of such replacement Securities.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Remedies</w:t>
      </w:r>
      <w:r>
        <w:rPr>
          <w:rFonts w:ascii="Times New Roman" w:eastAsia="Times New Roman" w:hAnsi="Times New Roman" w:cs="Times New Roman"/>
          <w:b w:val="0"/>
          <w:i w:val="0"/>
          <w:color w:val="000000"/>
          <w:sz w:val="22"/>
          <w:u w:val="none"/>
        </w:rPr>
        <w:t>. In addition to being entitled to exercise all rights provided herein or granted by law, including recovery of damages, each of the Purchasers and the Company will be entitled to specific performance under the Transaction Documents. The parties hereto agree that monetary damages may not be adequate compensation for any loss incurred by reason of any breach of obligations contained in the Transaction Documents and hereby agree to waive and not to assert in any action for specific performance of any such obligation the defense that a remedy at law would be adequate. Each party hereto agrees that it shall not have a remedy of punitive or consequential damages against the other and hereby waives any right or claim to punitive or consequential damages it may now have or may arise in the future.</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Payment Set Aside</w:t>
      </w:r>
      <w:r>
        <w:rPr>
          <w:rFonts w:ascii="Times New Roman" w:eastAsia="Times New Roman" w:hAnsi="Times New Roman" w:cs="Times New Roman"/>
          <w:b w:val="0"/>
          <w:i w:val="0"/>
          <w:color w:val="000000"/>
          <w:sz w:val="22"/>
          <w:u w:val="none"/>
        </w:rPr>
        <w:t>. To the extent that the Company makes a payment or payments to any Purchaser pursuant to any Transaction Document or a Purchaser enforces or exercises its rights thereunder, and such payment or payments or the proceeds of such enforcement or exercise or any part thereof are subsequently invalidated, declared to be fraudulent or preferential, set aside, recovered from, disgorged by or are required to be refunded, repaid or otherwise restored to the Company, a trustee, receiver or any other Person under any law (including, without limitation, any bankruptcy law, state or federal law, common law or equitable cause of action), then to the extent of any such restoration the obligation or part thereof originally intended to be satisfied shall be revived and continued in full force and effect as if such payment had not been made or such enforcement or setoff had not occurred.</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Independent Nature of Purchasers’ Obligations and Rights</w:t>
      </w:r>
      <w:r>
        <w:rPr>
          <w:rFonts w:ascii="Times New Roman" w:eastAsia="Times New Roman" w:hAnsi="Times New Roman" w:cs="Times New Roman"/>
          <w:b w:val="0"/>
          <w:i w:val="0"/>
          <w:color w:val="000000"/>
          <w:sz w:val="22"/>
          <w:u w:val="none"/>
        </w:rPr>
        <w:t>. The obligations of each Purchaser under any Transaction Document are several and not joint with the obligations of any other Purchaser, and no Purchaser shall be responsible in any way for the performance or non-performance of the obligations of any other Purchaser under any Transaction Document. Nothing contained herein or in any other Transaction Document, and no action taken by any Purchaser pursuant hereto or thereto, shall be deemed to constitute the Purchasers as a partnership, an association, a joint venture or any other kind of entity, or create a presumption that the Purchasers are in any way acting in concert or as a group with respect to such obligations or the transactions contemplated by the Transaction Documents. Each Purchaser shall be entitled to independently protect and enforce its rights including, without limitation, the rights arising out of this Agreement or out of the other Transaction Documents, and it shall not be necessary for any other Purchaser to be joined as an additional party in any Proceeding for such purpose. Each Purchaser has been represented by its own separate legal counsel in its review and negotiation of the Transaction Documents. The Company has elected to provide all Purchasers with the same terms and Transaction Documents for the convenience of the Company and not because it was required or requested to do so by any of the Purchasers. It is expressly understood and agreed that each provision contained in this Agreement and in each other Transaction Document is between the Company and a Purchaser, solely, and not between the Company and the Purchasers collectively and not between and among the Purchasers.</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Liquidated Damages.</w:t>
      </w:r>
      <w:r>
        <w:rPr>
          <w:rFonts w:ascii="Times New Roman" w:eastAsia="Times New Roman" w:hAnsi="Times New Roman" w:cs="Times New Roman"/>
          <w:b w:val="0"/>
          <w:i w:val="0"/>
          <w:color w:val="000000"/>
          <w:sz w:val="22"/>
          <w:u w:val="none"/>
        </w:rPr>
        <w:t xml:space="preserve"> The Company’s obligations to pay any partial liquidated damages or other amounts owing under the Transaction Documents is a continuing obligation of the Company and shall not terminate until all unpaid partial liquidated damages and other amounts have been paid notwithstanding the fact that the instrument or security pursuant to which such partial liquidated damages or other amounts are due and payable shall have been canceled.</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Saturdays, Sundays, Holidays, etc.</w:t>
      </w:r>
      <w:r>
        <w:rPr>
          <w:rFonts w:ascii="Times New Roman" w:eastAsia="Times New Roman" w:hAnsi="Times New Roman" w:cs="Times New Roman"/>
          <w:b w:val="0"/>
          <w:i w:val="0"/>
          <w:color w:val="000000"/>
          <w:sz w:val="22"/>
          <w:u w:val="none"/>
        </w:rPr>
        <w:t xml:space="preserve"> If the last or appointed day for the taking of any action or the expiration of any right required or granted herein shall not be a Business Day, then such action may be taken or such right may be exercised on the next succeeding Business Day.</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Construction</w:t>
      </w:r>
      <w:r>
        <w:rPr>
          <w:rFonts w:ascii="Times New Roman" w:eastAsia="Times New Roman" w:hAnsi="Times New Roman" w:cs="Times New Roman"/>
          <w:b w:val="0"/>
          <w:i w:val="0"/>
          <w:color w:val="000000"/>
          <w:sz w:val="22"/>
          <w:u w:val="none"/>
        </w:rPr>
        <w:t>. The parties hereto agree that each of them and/or their respective counsel have reviewed and had an opportunity to revise the Transaction Documents and, therefore, the normal rule of construction to the effect that any ambiguities are to be resolved against the drafting party shall not be employed in the interpretation of the Transaction Documents or any amendments thereto. In addition, each and every reference to share prices and shares of Common Stock in any Transaction Document shall be subject to adjustment for reverse and forward share splits, share dividends, share combinations and other similar transactions of the shares of Common Stock that occur after the date of this Agreement.</w:t>
      </w:r>
    </w:p>
    <w:p>
      <w:pPr>
        <w:pStyle w:val="ArticleSection2"/>
        <w:keepNext w:val="0"/>
        <w:keepLines w:val="0"/>
        <w:pageBreakBefore w:val="0"/>
        <w:widowControl/>
        <w:numPr>
          <w:ilvl w:val="1"/>
          <w:numId w:val="13"/>
        </w:numPr>
        <w:spacing w:before="0" w:after="120" w:line="240" w:lineRule="auto"/>
        <w:ind w:left="0" w:right="0" w:firstLine="72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2"/>
          <w:u w:val="single"/>
        </w:rPr>
        <w:t>WAIVER OF JURY TRIAL</w:t>
      </w:r>
      <w:r>
        <w:rPr>
          <w:rFonts w:ascii="Times New Roman" w:eastAsia="Times New Roman" w:hAnsi="Times New Roman" w:cs="Times New Roman"/>
          <w:b w:val="0"/>
          <w:i w:val="0"/>
          <w:color w:val="000000"/>
          <w:sz w:val="22"/>
          <w:u w:val="none"/>
        </w:rPr>
        <w:t>. IN ANY ACTION, SUIT, OR PROCEEDING IN ANY JURISDICTION BROUGHT BY ANY PARTY HERETO AGAINST ANY OTHER PARTY HERETO, THE PARTIES HERETO EACH KNOWINGLY AND INTENTIONALLY, TO THE GREATEST EXTENT PERMITTED BY APPLICABLE LAW, HEREBY ABSOLUTELY, UNCONDITIONALLY, IRREVOCABLY AND EXPRESSLY WAIVES FOREVER TRIAL BY JURY.</w:t>
      </w:r>
    </w:p>
    <w:p w:rsidR="00A77B3E">
      <w:pPr>
        <w:keepNext w:val="0"/>
        <w:keepLines w:val="0"/>
        <w:pageBreakBefore w:val="0"/>
        <w:widowControl/>
        <w:numPr>
          <w:ilvl w:val="0"/>
          <w:numId w:val="0"/>
        </w:numPr>
        <w:spacing w:before="0" w:after="160" w:line="30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[signature page follows]</w:t>
      </w:r>
    </w:p>
    <w:p w:rsidR="00A77B3E">
      <w:pPr>
        <w:keepNext w:val="0"/>
        <w:keepLines w:val="0"/>
        <w:pageBreakBefore/>
        <w:widowControl/>
        <w:numPr>
          <w:ilvl w:val="0"/>
          <w:numId w:val="0"/>
        </w:numPr>
        <w:spacing w:before="0" w:after="160" w:line="300" w:lineRule="auto"/>
        <w:ind w:left="0" w:right="0" w:firstLine="0"/>
        <w:jc w:val="left"/>
        <w:outlineLvl w:val="9"/>
        <w:rPr>
          <w:rFonts w:ascii="Times New Roman" w:eastAsia="Times New Roman" w:hAnsi="Times New Roman" w:cs="Times New Roman"/>
          <w:b w:val="0"/>
          <w:i w:val="0"/>
          <w:sz w:val="20"/>
        </w:rPr>
      </w:pPr>
    </w:p>
    <w:p w:rsidR="00A77B3E">
      <w:pPr>
        <w:keepNext w:val="0"/>
        <w:keepLines w:val="0"/>
        <w:pageBreakBefore/>
        <w:widowControl/>
        <w:numPr>
          <w:ilvl w:val="0"/>
          <w:numId w:val="0"/>
        </w:numPr>
        <w:spacing w:before="0" w:after="160" w:line="300" w:lineRule="auto"/>
        <w:ind w:left="0" w:right="0" w:firstLine="0"/>
        <w:jc w:val="left"/>
        <w:outlineLvl w:val="9"/>
        <w:sectPr>
          <w:headerReference w:type="default" r:id="rId19"/>
          <w:footerReference w:type="default" r:id="rId20"/>
          <w:headerReference w:type="first" r:id="rId21"/>
          <w:footerReference w:type="first" r:id="rId22"/>
          <w:type w:val="nextPage"/>
          <w:pgSz w:w="12240" w:h="15840"/>
          <w:pgMar w:top="1440" w:right="1440" w:bottom="1440" w:left="1440" w:header="720" w:footer="720" w:gutter="0"/>
          <w:pgNumType w:start="1"/>
          <w:cols w:space="720"/>
          <w:titlePg/>
          <w:docGrid w:linePitch="360"/>
        </w:sectPr>
      </w:pPr>
    </w:p>
    <w:p>
      <w:pPr>
        <w:keepNext w:val="0"/>
        <w:keepLines w:val="0"/>
        <w:pageBreakBefore w:val="0"/>
        <w:widowControl/>
        <w:numPr>
          <w:ilvl w:val="0"/>
          <w:numId w:val="0"/>
        </w:numPr>
        <w:spacing w:before="0" w:after="120" w:line="288" w:lineRule="auto"/>
        <w:ind w:left="0" w:right="0" w:firstLine="720"/>
        <w:jc w:val="left"/>
        <w:outlineLvl w:val="0"/>
        <w:rPr>
          <w:rFonts w:ascii="Times New Roman" w:eastAsia="Times New Roman" w:hAnsi="Times New Roman" w:cs="Times New Roman"/>
          <w:b w:val="0"/>
          <w:i w:val="0"/>
          <w:sz w:val="20"/>
        </w:rPr>
      </w:pPr>
      <w:bookmarkStart w:id="8" w:name="Section2"/>
      <w:bookmarkEnd w:id="8"/>
      <w:r>
        <w:rPr>
          <w:rFonts w:ascii="Times New Roman" w:eastAsia="Times New Roman" w:hAnsi="Times New Roman" w:cs="Times New Roman"/>
          <w:b w:val="0"/>
          <w:i w:val="0"/>
          <w:sz w:val="22"/>
        </w:rPr>
        <w:t>IN WITNESS WHEREOF, the parties hereto have caused this Securities Purchase Agreement to be duly executed by their respective authorized signatories as of the date first indicated above.</w:t>
      </w:r>
    </w:p>
    <w:p>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2"/>
        </w:rPr>
      </w:pPr>
    </w:p>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680"/>
        <w:gridCol w:w="4680"/>
      </w:tblGrid>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Calibri" w:eastAsia="Calibri" w:hAnsi="Calibri" w:cs="Calibri"/>
                <w:b/>
                <w:i w:val="0"/>
                <w:sz w:val="22"/>
              </w:rPr>
            </w:pPr>
            <w:r>
              <w:rPr>
                <w:rFonts w:ascii="Calibri" w:eastAsia="Calibri" w:hAnsi="Calibri" w:cs="Calibri"/>
                <w:b/>
                <w:i w:val="0"/>
                <w:sz w:val="22"/>
              </w:rPr>
              <w:t>NN, INC.</w:t>
            </w: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Calibri" w:eastAsia="Calibri" w:hAnsi="Calibri" w:cs="Calibri"/>
                <w:b w:val="0"/>
                <w:i w:val="0"/>
                <w:color w:val="000000"/>
                <w:sz w:val="22"/>
                <w:u w:val="single"/>
              </w:rPr>
            </w:pPr>
            <w:r>
              <w:rPr>
                <w:rFonts w:ascii="Calibri" w:eastAsia="Calibri" w:hAnsi="Calibri" w:cs="Calibri"/>
                <w:b w:val="0"/>
                <w:i w:val="0"/>
                <w:color w:val="000000"/>
                <w:sz w:val="22"/>
                <w:u w:val="single"/>
              </w:rPr>
              <w:t>Address for Notice:</w:t>
            </w:r>
          </w:p>
        </w:tc>
      </w:tr>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Times New Roman" w:eastAsia="Times New Roman" w:hAnsi="Times New Roman" w:cs="Times New Roman"/>
                <w:b w:val="0"/>
                <w:i w:val="0"/>
                <w:sz w:val="20"/>
              </w:rPr>
            </w:pP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Times New Roman" w:eastAsia="Times New Roman" w:hAnsi="Times New Roman" w:cs="Times New Roman"/>
                <w:b w:val="0"/>
                <w:i w:val="0"/>
                <w:sz w:val="20"/>
              </w:rPr>
            </w:pPr>
          </w:p>
        </w:tc>
      </w:tr>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Calibri" w:eastAsia="Calibri" w:hAnsi="Calibri" w:cs="Calibri"/>
                <w:b w:val="0"/>
                <w:i w:val="0"/>
                <w:sz w:val="22"/>
              </w:rPr>
              <w:t xml:space="preserve">By: </w:t>
            </w:r>
            <w:r>
              <w:rPr>
                <w:rFonts w:ascii="Calibri" w:eastAsia="Calibri" w:hAnsi="Calibri" w:cs="Calibri"/>
                <w:b w:val="0"/>
                <w:i w:val="0"/>
                <w:color w:val="000000"/>
                <w:sz w:val="22"/>
                <w:u w:val="single"/>
              </w:rPr>
              <w:tab/>
            </w: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Calibri" w:eastAsia="Calibri" w:hAnsi="Calibri" w:cs="Calibri"/>
                <w:b w:val="0"/>
                <w:i w:val="0"/>
                <w:sz w:val="22"/>
              </w:rPr>
              <w:t xml:space="preserve">Fax: </w:t>
            </w:r>
            <w:r>
              <w:rPr>
                <w:rFonts w:ascii="Calibri" w:eastAsia="Calibri" w:hAnsi="Calibri" w:cs="Calibri"/>
                <w:b w:val="0"/>
                <w:i w:val="0"/>
                <w:color w:val="000000"/>
                <w:sz w:val="22"/>
                <w:u w:val="single"/>
              </w:rPr>
              <w:tab/>
            </w:r>
          </w:p>
        </w:tc>
      </w:tr>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Calibri" w:eastAsia="Calibri" w:hAnsi="Calibri" w:cs="Calibri"/>
                <w:b w:val="0"/>
                <w:i w:val="0"/>
                <w:sz w:val="22"/>
              </w:rPr>
              <w:t xml:space="preserve">Name: </w:t>
            </w:r>
            <w:r>
              <w:rPr>
                <w:rFonts w:ascii="Calibri" w:eastAsia="Calibri" w:hAnsi="Calibri" w:cs="Calibri"/>
                <w:b w:val="0"/>
                <w:i w:val="0"/>
                <w:color w:val="000000"/>
                <w:sz w:val="22"/>
                <w:u w:val="single"/>
              </w:rPr>
              <w:tab/>
            </w: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Calibri" w:eastAsia="Calibri" w:hAnsi="Calibri" w:cs="Calibri"/>
                <w:b w:val="0"/>
                <w:i w:val="0"/>
                <w:sz w:val="22"/>
              </w:rPr>
              <w:t xml:space="preserve">E-mail: </w:t>
            </w:r>
            <w:r>
              <w:rPr>
                <w:rFonts w:ascii="Calibri" w:eastAsia="Calibri" w:hAnsi="Calibri" w:cs="Calibri"/>
                <w:b w:val="0"/>
                <w:i w:val="0"/>
                <w:color w:val="000000"/>
                <w:sz w:val="22"/>
                <w:u w:val="single"/>
              </w:rPr>
              <w:tab/>
            </w:r>
          </w:p>
        </w:tc>
      </w:tr>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Calibri" w:eastAsia="Calibri" w:hAnsi="Calibri" w:cs="Calibri"/>
                <w:b w:val="0"/>
                <w:i w:val="0"/>
                <w:sz w:val="22"/>
              </w:rPr>
              <w:t xml:space="preserve">Title: </w:t>
            </w:r>
            <w:r>
              <w:rPr>
                <w:rFonts w:ascii="Calibri" w:eastAsia="Calibri" w:hAnsi="Calibri" w:cs="Calibri"/>
                <w:b w:val="0"/>
                <w:i w:val="0"/>
                <w:color w:val="000000"/>
                <w:sz w:val="22"/>
                <w:u w:val="single"/>
              </w:rPr>
              <w:tab/>
            </w: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Times New Roman" w:eastAsia="Times New Roman" w:hAnsi="Times New Roman" w:cs="Times New Roman"/>
                <w:b w:val="0"/>
                <w:i w:val="0"/>
                <w:sz w:val="20"/>
              </w:rPr>
            </w:pPr>
          </w:p>
        </w:tc>
      </w:tr>
      <w:tr>
        <w:tblPrEx>
          <w:tblW w:w="9360" w:type="dxa"/>
          <w:tblInd w:w="0" w:type="dxa"/>
          <w:tblLayout w:type="fixed"/>
        </w:tblPrEx>
        <w:trPr>
          <w:cantSplit/>
          <w:trHeight w:hRule="auto" w:val="0"/>
        </w:trPr>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160"/>
              </w:tabs>
              <w:spacing w:before="43" w:after="20" w:line="288" w:lineRule="auto"/>
              <w:ind w:left="55" w:right="55" w:firstLine="0"/>
              <w:jc w:val="left"/>
              <w:outlineLvl w:val="9"/>
              <w:rPr>
                <w:rFonts w:ascii="Times New Roman" w:eastAsia="Times New Roman" w:hAnsi="Times New Roman" w:cs="Times New Roman"/>
                <w:b w:val="0"/>
                <w:i w:val="0"/>
                <w:sz w:val="20"/>
              </w:rPr>
            </w:pPr>
          </w:p>
        </w:tc>
        <w:tc>
          <w:tcPr>
            <w:tcW w:w="468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right" w:pos="4340"/>
              </w:tabs>
              <w:spacing w:before="43" w:after="20" w:line="288" w:lineRule="auto"/>
              <w:ind w:left="55" w:right="55" w:firstLine="0"/>
              <w:jc w:val="left"/>
              <w:outlineLvl w:val="9"/>
              <w:rPr>
                <w:rFonts w:ascii="Times New Roman" w:eastAsia="Times New Roman" w:hAnsi="Times New Roman" w:cs="Times New Roman"/>
                <w:b w:val="0"/>
                <w:i w:val="0"/>
                <w:sz w:val="20"/>
              </w:rPr>
            </w:pPr>
          </w:p>
        </w:tc>
      </w:tr>
    </w:tbl>
    <w:p>
      <w:pPr>
        <w:keepNext w:val="0"/>
        <w:keepLines w:val="0"/>
        <w:pageBreakBefore w:val="0"/>
        <w:widowControl/>
        <w:numPr>
          <w:ilvl w:val="0"/>
          <w:numId w:val="0"/>
        </w:numPr>
        <w:spacing w:before="0" w:after="120" w:line="288" w:lineRule="auto"/>
        <w:ind w:left="0" w:right="0" w:firstLine="720"/>
        <w:jc w:val="left"/>
        <w:outlineLvl w:val="9"/>
        <w:rPr>
          <w:rFonts w:ascii="Times New Roman" w:eastAsia="Times New Roman" w:hAnsi="Times New Roman" w:cs="Times New Roman"/>
          <w:b w:val="0"/>
          <w:i w:val="0"/>
          <w:sz w:val="22"/>
        </w:rPr>
      </w:pPr>
    </w:p>
    <w:p>
      <w:pPr>
        <w:keepNext w:val="0"/>
        <w:keepLines w:val="0"/>
        <w:pageBreakBefore w:val="0"/>
        <w:widowControl/>
        <w:numPr>
          <w:ilvl w:val="0"/>
          <w:numId w:val="0"/>
        </w:numPr>
        <w:spacing w:before="0" w:after="120" w:line="288" w:lineRule="auto"/>
        <w:ind w:left="0" w:right="0" w:firstLine="72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[REMAINDER OF PAGE INTENTIONALLY LEFT BLANK</w:t>
      </w:r>
      <w:r>
        <w:rPr>
          <w:rFonts w:ascii="Times New Roman" w:eastAsia="Times New Roman" w:hAnsi="Times New Roman" w:cs="Times New Roman"/>
          <w:b w:val="0"/>
          <w:i w:val="0"/>
          <w:sz w:val="22"/>
        </w:rPr>
        <w:br/>
      </w:r>
      <w:r>
        <w:rPr>
          <w:rFonts w:ascii="Times New Roman" w:eastAsia="Times New Roman" w:hAnsi="Times New Roman" w:cs="Times New Roman"/>
          <w:b w:val="0"/>
          <w:i w:val="0"/>
          <w:sz w:val="22"/>
        </w:rPr>
        <w:t>SIGNATURE PAGE FOR PURCHASER FOLLOWS]</w:t>
      </w:r>
    </w:p>
    <w:p>
      <w:pPr>
        <w:keepNext w:val="0"/>
        <w:keepLines w:val="0"/>
        <w:pageBreakBefore w:val="0"/>
        <w:widowControl/>
        <w:numPr>
          <w:ilvl w:val="0"/>
          <w:numId w:val="0"/>
        </w:numPr>
        <w:spacing w:before="0" w:after="120" w:line="288" w:lineRule="auto"/>
        <w:ind w:left="0" w:right="0" w:firstLine="720"/>
        <w:jc w:val="center"/>
        <w:outlineLvl w:val="9"/>
        <w:rPr>
          <w:rFonts w:ascii="Times New Roman" w:eastAsia="Times New Roman" w:hAnsi="Times New Roman" w:cs="Times New Roman"/>
          <w:b w:val="0"/>
          <w:i w:val="0"/>
          <w:sz w:val="22"/>
        </w:rPr>
        <w:sectPr>
          <w:headerReference w:type="first" r:id="rId23"/>
          <w:footerReference w:type="first" r:id="rId24"/>
          <w:pgSz w:w="12240" w:h="15840"/>
          <w:pgMar w:top="1440" w:right="1440" w:bottom="1440" w:left="1440" w:header="720" w:footer="720" w:gutter="0"/>
          <w:cols w:space="720"/>
          <w:titlePg/>
        </w:sectPr>
      </w:pPr>
    </w:p>
    <w:p>
      <w:pPr>
        <w:keepNext w:val="0"/>
        <w:keepLines w:val="0"/>
        <w:pageBreakBefore w:val="0"/>
        <w:widowControl/>
        <w:numPr>
          <w:ilvl w:val="0"/>
          <w:numId w:val="0"/>
        </w:numPr>
        <w:spacing w:before="0" w:after="120" w:line="288" w:lineRule="auto"/>
        <w:ind w:left="0" w:right="0" w:firstLine="0"/>
        <w:jc w:val="center"/>
        <w:outlineLvl w:val="0"/>
        <w:rPr>
          <w:rFonts w:ascii="Times New Roman" w:eastAsia="Times New Roman" w:hAnsi="Times New Roman" w:cs="Times New Roman"/>
          <w:b w:val="0"/>
          <w:i w:val="0"/>
          <w:sz w:val="20"/>
        </w:rPr>
      </w:pPr>
      <w:bookmarkStart w:id="9" w:name="Section3"/>
      <w:bookmarkEnd w:id="9"/>
      <w:r>
        <w:rPr>
          <w:rFonts w:ascii="Times New Roman" w:eastAsia="Times New Roman" w:hAnsi="Times New Roman" w:cs="Times New Roman"/>
          <w:b w:val="0"/>
          <w:i w:val="0"/>
          <w:sz w:val="22"/>
        </w:rPr>
        <w:t>[PURCHASER SIGNATURE PAGE TO SECURITIES PURCHASE AGREEMENT]</w:t>
      </w:r>
    </w:p>
    <w:p>
      <w:pPr>
        <w:keepNext w:val="0"/>
        <w:keepLines w:val="0"/>
        <w:pageBreakBefore w:val="0"/>
        <w:widowControl/>
        <w:numPr>
          <w:ilvl w:val="0"/>
          <w:numId w:val="0"/>
        </w:numPr>
        <w:spacing w:before="0" w:after="120" w:line="288" w:lineRule="auto"/>
        <w:ind w:left="0" w:right="0" w:firstLine="0"/>
        <w:jc w:val="center"/>
        <w:outlineLvl w:val="9"/>
        <w:rPr>
          <w:rFonts w:ascii="Times New Roman" w:eastAsia="Times New Roman" w:hAnsi="Times New Roman" w:cs="Times New Roman"/>
          <w:b w:val="0"/>
          <w:i w:val="0"/>
          <w:sz w:val="22"/>
        </w:rPr>
      </w:pPr>
    </w:p>
    <w:p>
      <w:pPr>
        <w:keepNext w:val="0"/>
        <w:keepLines w:val="0"/>
        <w:pageBreakBefore w:val="0"/>
        <w:widowControl/>
        <w:numPr>
          <w:ilvl w:val="0"/>
          <w:numId w:val="0"/>
        </w:numPr>
        <w:tabs>
          <w:tab w:val="right" w:pos="9260"/>
        </w:tabs>
        <w:spacing w:before="0" w:after="120" w:line="288" w:lineRule="auto"/>
        <w:ind w:left="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IN WITNESS WHEREOF, the undersigned has caused this Securities Purchase Agreement to be duly executed by its authorized signatory as of the date first indicated above.</w:t>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Name of Purchaser: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sz w:val="22"/>
        </w:rPr>
        <w:t>Signature of Authorized Signatory of Purchaser</w:t>
      </w:r>
      <w:r>
        <w:rPr>
          <w:rFonts w:ascii="Times New Roman" w:eastAsia="Times New Roman" w:hAnsi="Times New Roman" w:cs="Times New Roman"/>
          <w:b w:val="0"/>
          <w:i w:val="0"/>
          <w:sz w:val="22"/>
        </w:rPr>
        <w:t xml:space="preserve">: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Name of Authorized Signatory: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Title of Authorized Signatory: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Email Address of Authorized Signatory: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Facsimile Number of Authorized Signatory: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Address for Notice to Purchaser: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Address for Delivery of Pre-Funded Warrants to Purchaser (if not same as address for notice):</w:t>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00"/>
          <w:sz w:val="22"/>
          <w:u w:val="single"/>
        </w:rPr>
        <w:t> </w:t>
      </w:r>
      <w:r>
        <w:rPr>
          <w:rFonts w:ascii="Times New Roman" w:eastAsia="Times New Roman" w:hAnsi="Times New Roman" w:cs="Times New Roman"/>
          <w:b w:val="0"/>
          <w:i w:val="0"/>
          <w:color w:val="000000"/>
          <w:sz w:val="22"/>
          <w:u w:val="single"/>
        </w:rPr>
        <w:tab/>
      </w:r>
      <w:r>
        <w:rPr>
          <w:rFonts w:ascii="Times New Roman" w:eastAsia="Times New Roman" w:hAnsi="Times New Roman" w:cs="Times New Roman"/>
          <w:b w:val="0"/>
          <w:i w:val="0"/>
          <w:sz w:val="22"/>
        </w:rPr>
        <w:t>Subscription Amount: $</w:t>
      </w:r>
      <w:r>
        <w:rPr>
          <w:rFonts w:ascii="Times New Roman" w:eastAsia="Times New Roman" w:hAnsi="Times New Roman" w:cs="Times New Roman"/>
          <w:b w:val="0"/>
          <w:i w:val="0"/>
          <w:color w:val="000000"/>
          <w:sz w:val="22"/>
          <w:u w:val="single"/>
        </w:rPr>
        <w:t>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Shares: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Pre-Funded Warrant Shares: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00"/>
          <w:sz w:val="22"/>
          <w:u w:val="single"/>
        </w:rPr>
        <w:t>Beneficial Ownership Blocker  4.99% or  9.99%</w:t>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2"/>
        </w:rPr>
        <w:t xml:space="preserve">EIN Number: </w:t>
      </w:r>
      <w:r>
        <w:rPr>
          <w:rFonts w:ascii="Times New Roman" w:eastAsia="Times New Roman" w:hAnsi="Times New Roman" w:cs="Times New Roman"/>
          <w:b w:val="0"/>
          <w:i w:val="0"/>
          <w:color w:val="000000"/>
          <w:sz w:val="22"/>
          <w:u w:val="single"/>
        </w:rPr>
        <w:tab/>
      </w:r>
    </w:p>
    <w:p>
      <w:pPr>
        <w:keepNext w:val="0"/>
        <w:keepLines w:val="0"/>
        <w:pageBreakBefore w:val="0"/>
        <w:widowControl/>
        <w:numPr>
          <w:ilvl w:val="0"/>
          <w:numId w:val="0"/>
        </w:numPr>
        <w:tabs>
          <w:tab w:val="right" w:pos="9260"/>
        </w:tabs>
        <w:spacing w:before="0" w:after="120" w:line="288" w:lineRule="auto"/>
        <w:ind w:left="0" w:right="0" w:firstLine="0"/>
        <w:jc w:val="left"/>
        <w:outlineLvl w:val="9"/>
        <w:rPr>
          <w:rFonts w:ascii="Times New Roman" w:eastAsia="Times New Roman" w:hAnsi="Times New Roman" w:cs="Times New Roman"/>
          <w:b w:val="0"/>
          <w:i w:val="0"/>
          <w:sz w:val="22"/>
        </w:rPr>
      </w:pPr>
    </w:p>
    <w:p>
      <w:pPr>
        <w:keepNext w:val="0"/>
        <w:keepLines w:val="0"/>
        <w:pageBreakBefore w:val="0"/>
        <w:widowControl/>
        <w:numPr>
          <w:ilvl w:val="0"/>
          <w:numId w:val="0"/>
        </w:numPr>
        <w:tabs>
          <w:tab w:val="right" w:pos="9260"/>
        </w:tabs>
        <w:spacing w:before="0" w:after="120" w:line="288" w:lineRule="auto"/>
        <w:ind w:left="0" w:right="0" w:firstLine="0"/>
        <w:jc w:val="left"/>
        <w:outlineLvl w:val="9"/>
        <w:sectPr>
          <w:headerReference w:type="first" r:id="rId25"/>
          <w:footerReference w:type="first" r:id="rId26"/>
          <w:pgSz w:w="12240" w:h="15840"/>
          <w:pgMar w:top="1440" w:right="1440" w:bottom="1440" w:left="1440" w:header="720" w:footer="720" w:gutter="0"/>
          <w:cols w:space="720"/>
          <w:titlePg/>
        </w:sectPr>
      </w:pPr>
    </w:p>
    <w:p>
      <w:pPr>
        <w:keepNext w:val="0"/>
        <w:keepLines w:val="0"/>
        <w:pageBreakBefore w:val="0"/>
        <w:widowControl/>
        <w:numPr>
          <w:ilvl w:val="0"/>
          <w:numId w:val="0"/>
        </w:numPr>
        <w:tabs>
          <w:tab w:val="right" w:pos="9260"/>
        </w:tabs>
        <w:spacing w:before="0" w:after="120" w:line="288" w:lineRule="auto"/>
        <w:ind w:left="0" w:right="0" w:firstLine="0"/>
        <w:jc w:val="center"/>
        <w:outlineLvl w:val="0"/>
        <w:rPr>
          <w:rFonts w:ascii="Times New Roman" w:eastAsia="Times New Roman" w:hAnsi="Times New Roman" w:cs="Times New Roman"/>
          <w:b w:val="0"/>
          <w:i w:val="0"/>
          <w:sz w:val="20"/>
        </w:rPr>
      </w:pPr>
      <w:bookmarkStart w:id="10" w:name="Section4"/>
      <w:bookmarkEnd w:id="10"/>
      <w:r>
        <w:rPr>
          <w:rFonts w:ascii="Times New Roman" w:eastAsia="Times New Roman" w:hAnsi="Times New Roman" w:cs="Times New Roman"/>
          <w:b/>
          <w:i w:val="0"/>
          <w:sz w:val="22"/>
        </w:rPr>
        <w:t>Exhibit A</w:t>
      </w:r>
    </w:p>
    <w:p>
      <w:pPr>
        <w:keepNext w:val="0"/>
        <w:keepLines w:val="0"/>
        <w:pageBreakBefore w:val="0"/>
        <w:widowControl/>
        <w:numPr>
          <w:ilvl w:val="0"/>
          <w:numId w:val="0"/>
        </w:numPr>
        <w:tabs>
          <w:tab w:val="right" w:pos="9260"/>
        </w:tabs>
        <w:spacing w:before="0" w:after="12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2"/>
        </w:rPr>
        <w:t>Form of Pre-Funded Warrant</w:t>
      </w:r>
    </w:p>
    <w:p>
      <w:pPr>
        <w:keepNext w:val="0"/>
        <w:keepLines w:val="0"/>
        <w:pageBreakBefore w:val="0"/>
        <w:widowControl/>
        <w:numPr>
          <w:ilvl w:val="0"/>
          <w:numId w:val="0"/>
        </w:numPr>
        <w:tabs>
          <w:tab w:val="right" w:pos="9260"/>
        </w:tabs>
        <w:spacing w:before="0" w:after="120" w:line="288" w:lineRule="auto"/>
        <w:ind w:left="0" w:right="0" w:firstLine="0"/>
        <w:jc w:val="center"/>
        <w:outlineLvl w:val="9"/>
        <w:rPr>
          <w:rFonts w:ascii="Times New Roman" w:eastAsia="Times New Roman" w:hAnsi="Times New Roman" w:cs="Times New Roman"/>
          <w:b w:val="0"/>
          <w:i w:val="0"/>
          <w:sz w:val="22"/>
        </w:rPr>
      </w:pPr>
    </w:p>
    <w:p>
      <w:pPr>
        <w:keepNext w:val="0"/>
        <w:keepLines w:val="0"/>
        <w:pageBreakBefore w:val="0"/>
        <w:widowControl/>
        <w:numPr>
          <w:ilvl w:val="0"/>
          <w:numId w:val="0"/>
        </w:numPr>
        <w:tabs>
          <w:tab w:val="right" w:pos="9260"/>
        </w:tabs>
        <w:spacing w:before="0" w:after="120" w:line="288" w:lineRule="auto"/>
        <w:ind w:left="0" w:right="0" w:firstLine="0"/>
        <w:jc w:val="center"/>
        <w:outlineLvl w:val="9"/>
        <w:sectPr>
          <w:headerReference w:type="default" r:id="rId27"/>
          <w:footerReference w:type="default" r:id="rId28"/>
          <w:pgSz w:w="12240" w:h="15840"/>
          <w:pgMar w:top="1440" w:right="1440" w:bottom="1440" w:left="1440" w:header="0" w:footer="720" w:gutter="0"/>
          <w:cols w:space="720"/>
        </w:sectPr>
      </w:pPr>
    </w:p>
    <w:p>
      <w:pPr>
        <w:keepNext w:val="0"/>
        <w:keepLines w:val="0"/>
        <w:pageBreakBefore w:val="0"/>
        <w:widowControl/>
        <w:numPr>
          <w:ilvl w:val="0"/>
          <w:numId w:val="0"/>
        </w:numPr>
        <w:tabs>
          <w:tab w:val="right" w:pos="9260"/>
        </w:tabs>
        <w:spacing w:before="0" w:after="120" w:line="288" w:lineRule="auto"/>
        <w:ind w:left="0" w:right="0" w:firstLine="0"/>
        <w:jc w:val="center"/>
        <w:outlineLvl w:val="0"/>
        <w:rPr>
          <w:rFonts w:ascii="Times New Roman" w:eastAsia="Times New Roman" w:hAnsi="Times New Roman" w:cs="Times New Roman"/>
          <w:b w:val="0"/>
          <w:i w:val="0"/>
          <w:sz w:val="20"/>
        </w:rPr>
      </w:pPr>
      <w:bookmarkStart w:id="11" w:name="Section5"/>
      <w:bookmarkEnd w:id="11"/>
      <w:r>
        <w:rPr>
          <w:rFonts w:ascii="Times New Roman" w:eastAsia="Times New Roman" w:hAnsi="Times New Roman" w:cs="Times New Roman"/>
          <w:b/>
          <w:i w:val="0"/>
          <w:sz w:val="22"/>
        </w:rPr>
        <w:t>Exhibit B</w:t>
      </w:r>
    </w:p>
    <w:p>
      <w:pPr>
        <w:keepNext w:val="0"/>
        <w:keepLines w:val="0"/>
        <w:pageBreakBefore w:val="0"/>
        <w:widowControl/>
        <w:numPr>
          <w:ilvl w:val="0"/>
          <w:numId w:val="0"/>
        </w:numPr>
        <w:tabs>
          <w:tab w:val="right" w:pos="9260"/>
        </w:tabs>
        <w:spacing w:before="0" w:after="12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2"/>
        </w:rPr>
        <w:t>Form of Registration Rights Agreement</w:t>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sectPr>
          <w:pgSz w:w="12240" w:h="15840"/>
          <w:pgMar w:top="1440" w:right="1440" w:bottom="1440" w:left="1440" w:header="0" w:footer="720" w:gutter="0"/>
          <w:cols w:space="720"/>
        </w:sectPr>
      </w:pPr>
    </w:p>
    <w:p>
      <w:pPr>
        <w:jc w:val="right"/>
      </w:pPr>
      <w:r>
        <w:rPr>
          <w:b/>
        </w:rPr>
        <w:t>Exhibit 10.2</w:t>
      </w:r>
    </w:p>
    <w:p/>
    <w:p w:rsidR="00A77B3E">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bookmarkStart w:id="12" w:name="Section1"/>
      <w:bookmarkEnd w:id="12"/>
    </w:p>
    <w:p w:rsidR="00A77B3E">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240" w:line="288" w:lineRule="auto"/>
        <w:ind w:left="0" w:right="0" w:firstLine="0"/>
        <w:jc w:val="center"/>
        <w:outlineLvl w:val="0"/>
        <w:rPr>
          <w:rFonts w:ascii="Times New Roman" w:eastAsia="Times New Roman" w:hAnsi="Times New Roman" w:cs="Times New Roman"/>
          <w:b w:val="0"/>
          <w:i w:val="0"/>
          <w:sz w:val="20"/>
        </w:rPr>
      </w:pPr>
      <w:r>
        <w:rPr>
          <w:rFonts w:ascii="Times New Roman" w:eastAsia="Times New Roman" w:hAnsi="Times New Roman" w:cs="Times New Roman"/>
          <w:b/>
          <w:i w:val="0"/>
          <w:sz w:val="20"/>
        </w:rPr>
        <w:t>REGISTRATION RIGHTS AGREEMENT</w:t>
      </w:r>
    </w:p>
    <w:p w:rsidR="00A77B3E">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This Registration Rights Agreement (this “</w:t>
      </w:r>
      <w:r>
        <w:rPr>
          <w:rFonts w:ascii="Times New Roman" w:eastAsia="Times New Roman" w:hAnsi="Times New Roman" w:cs="Times New Roman"/>
          <w:b w:val="0"/>
          <w:i w:val="0"/>
          <w:color w:val="000000"/>
          <w:sz w:val="20"/>
          <w:u w:val="single"/>
        </w:rPr>
        <w:t>Agreement</w:t>
      </w:r>
      <w:r>
        <w:rPr>
          <w:rFonts w:ascii="Times New Roman" w:eastAsia="Times New Roman" w:hAnsi="Times New Roman" w:cs="Times New Roman"/>
          <w:b w:val="0"/>
          <w:i w:val="0"/>
          <w:sz w:val="20"/>
        </w:rPr>
        <w:t>”) is made and entered into as of October 1, 2026, between NN, Inc., a Delaware corporation (the “</w:t>
      </w:r>
      <w:r>
        <w:rPr>
          <w:rFonts w:ascii="Times New Roman" w:eastAsia="Times New Roman" w:hAnsi="Times New Roman" w:cs="Times New Roman"/>
          <w:b w:val="0"/>
          <w:i w:val="0"/>
          <w:color w:val="000000"/>
          <w:sz w:val="20"/>
          <w:u w:val="single"/>
        </w:rPr>
        <w:t>Company</w:t>
      </w:r>
      <w:r>
        <w:rPr>
          <w:rFonts w:ascii="Times New Roman" w:eastAsia="Times New Roman" w:hAnsi="Times New Roman" w:cs="Times New Roman"/>
          <w:b w:val="0"/>
          <w:i w:val="0"/>
          <w:sz w:val="20"/>
        </w:rPr>
        <w:t>”), and each of the several purchasers signatory hereto (each such purchaser, a “</w:t>
      </w:r>
      <w:r>
        <w:rPr>
          <w:rFonts w:ascii="Times New Roman" w:eastAsia="Times New Roman" w:hAnsi="Times New Roman" w:cs="Times New Roman"/>
          <w:b w:val="0"/>
          <w:i w:val="0"/>
          <w:color w:val="000000"/>
          <w:sz w:val="20"/>
          <w:u w:val="single"/>
        </w:rPr>
        <w:t>Purchaser</w:t>
      </w:r>
      <w:r>
        <w:rPr>
          <w:rFonts w:ascii="Times New Roman" w:eastAsia="Times New Roman" w:hAnsi="Times New Roman" w:cs="Times New Roman"/>
          <w:b w:val="0"/>
          <w:i w:val="0"/>
          <w:sz w:val="20"/>
        </w:rPr>
        <w:t>” and, collectively, the “</w:t>
      </w:r>
      <w:r>
        <w:rPr>
          <w:rFonts w:ascii="Times New Roman" w:eastAsia="Times New Roman" w:hAnsi="Times New Roman" w:cs="Times New Roman"/>
          <w:b w:val="0"/>
          <w:i w:val="0"/>
          <w:color w:val="000000"/>
          <w:sz w:val="20"/>
          <w:u w:val="single"/>
        </w:rPr>
        <w:t>Purchasers</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This Agreement is made pursuant to the Securities Purchase Agreement, dated as of the date hereof, between the Company and each Purchaser (the “</w:t>
      </w:r>
      <w:r>
        <w:rPr>
          <w:rFonts w:ascii="Times New Roman" w:eastAsia="Times New Roman" w:hAnsi="Times New Roman" w:cs="Times New Roman"/>
          <w:b w:val="0"/>
          <w:i w:val="0"/>
          <w:color w:val="000000"/>
          <w:sz w:val="20"/>
          <w:u w:val="single"/>
        </w:rPr>
        <w:t>Purchase Agreement</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 and each Purchaser hereby agrees as follows:</w:t>
      </w:r>
    </w:p>
    <w:p w:rsidR="00A77B3E">
      <w:pPr>
        <w:keepNext w:val="0"/>
        <w:keepLines w:val="0"/>
        <w:pageBreakBefore w:val="0"/>
        <w:widowControl/>
        <w:numPr>
          <w:ilvl w:val="0"/>
          <w:numId w:val="0"/>
        </w:numPr>
        <w:spacing w:before="0" w:after="240" w:line="288" w:lineRule="auto"/>
        <w:ind w:left="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1. </w:t>
      </w:r>
      <w:r>
        <w:rPr>
          <w:rFonts w:ascii="Times New Roman" w:eastAsia="Times New Roman" w:hAnsi="Times New Roman" w:cs="Times New Roman"/>
          <w:b w:val="0"/>
          <w:i w:val="0"/>
          <w:color w:val="000000"/>
          <w:sz w:val="20"/>
          <w:u w:val="single"/>
        </w:rPr>
        <w:t>Definitions</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Capitalized terms used and not otherwise defined herein that are defined in the Purchase Agreement shall have the meanings given such terms in the Purchase Agreement.</w:t>
      </w:r>
      <w:r>
        <w:rPr>
          <w:rFonts w:ascii="Times New Roman" w:eastAsia="Times New Roman" w:hAnsi="Times New Roman" w:cs="Times New Roman"/>
          <w:b w:val="0"/>
          <w:i w:val="0"/>
          <w:sz w:val="20"/>
        </w:rPr>
        <w:t xml:space="preserve"> As used in this Agreement, the following terms shall have the following meanings: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Advice</w:t>
      </w:r>
      <w:r>
        <w:rPr>
          <w:rFonts w:ascii="Times New Roman" w:eastAsia="Times New Roman" w:hAnsi="Times New Roman" w:cs="Times New Roman"/>
          <w:b w:val="0"/>
          <w:i w:val="0"/>
          <w:sz w:val="20"/>
        </w:rPr>
        <w:t>” shall have the meaning set forth in Section 6(c).</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Effectiveness Date</w:t>
      </w:r>
      <w:r>
        <w:rPr>
          <w:rFonts w:ascii="Times New Roman" w:eastAsia="Times New Roman" w:hAnsi="Times New Roman" w:cs="Times New Roman"/>
          <w:b w:val="0"/>
          <w:i w:val="0"/>
          <w:sz w:val="20"/>
        </w:rPr>
        <w:t>” means, with respect to the Initial Registration Statement required to be filed hereunder, the 45</w:t>
      </w:r>
      <w:r>
        <w:rPr>
          <w:rFonts w:ascii="Times New Roman" w:eastAsia="Times New Roman" w:hAnsi="Times New Roman" w:cs="Times New Roman"/>
          <w:b w:val="0"/>
          <w:i w:val="0"/>
          <w:sz w:val="25"/>
          <w:vertAlign w:val="superscript"/>
        </w:rPr>
        <w:t>th</w:t>
      </w:r>
      <w:r>
        <w:rPr>
          <w:rFonts w:ascii="Times New Roman" w:eastAsia="Times New Roman" w:hAnsi="Times New Roman" w:cs="Times New Roman"/>
          <w:b w:val="0"/>
          <w:i w:val="0"/>
          <w:sz w:val="20"/>
        </w:rPr>
        <w:t xml:space="preserve"> calendar day following the Filing Date for such Initial Registration Statement (or, in the event of a “full review” by the Securities and Exchange Commission (the “</w:t>
      </w:r>
      <w:r>
        <w:rPr>
          <w:rFonts w:ascii="Times New Roman" w:eastAsia="Times New Roman" w:hAnsi="Times New Roman" w:cs="Times New Roman"/>
          <w:b w:val="0"/>
          <w:i w:val="0"/>
          <w:color w:val="000000"/>
          <w:sz w:val="20"/>
          <w:u w:val="single"/>
        </w:rPr>
        <w:t>Commission</w:t>
      </w:r>
      <w:r>
        <w:rPr>
          <w:rFonts w:ascii="Times New Roman" w:eastAsia="Times New Roman" w:hAnsi="Times New Roman" w:cs="Times New Roman"/>
          <w:b w:val="0"/>
          <w:i w:val="0"/>
          <w:sz w:val="20"/>
        </w:rPr>
        <w:t>”), the 90</w:t>
      </w:r>
      <w:r>
        <w:rPr>
          <w:rFonts w:ascii="Times New Roman" w:eastAsia="Times New Roman" w:hAnsi="Times New Roman" w:cs="Times New Roman"/>
          <w:b w:val="0"/>
          <w:i w:val="0"/>
          <w:sz w:val="25"/>
          <w:vertAlign w:val="superscript"/>
        </w:rPr>
        <w:t>th</w:t>
      </w:r>
      <w:r>
        <w:rPr>
          <w:rFonts w:ascii="Times New Roman" w:eastAsia="Times New Roman" w:hAnsi="Times New Roman" w:cs="Times New Roman"/>
          <w:b w:val="0"/>
          <w:i w:val="0"/>
          <w:sz w:val="20"/>
        </w:rPr>
        <w:t xml:space="preserve"> calendar day following the Filing Date for such Initial Registration Statement and with respect to any additional Registration Statements which may be required pursuant to Section 2(c) or Section 3(c), the 45</w:t>
      </w:r>
      <w:r>
        <w:rPr>
          <w:rFonts w:ascii="Times New Roman" w:eastAsia="Times New Roman" w:hAnsi="Times New Roman" w:cs="Times New Roman"/>
          <w:b w:val="0"/>
          <w:i w:val="0"/>
          <w:sz w:val="25"/>
          <w:vertAlign w:val="superscript"/>
        </w:rPr>
        <w:t>th</w:t>
      </w:r>
      <w:r>
        <w:rPr>
          <w:rFonts w:ascii="Times New Roman" w:eastAsia="Times New Roman" w:hAnsi="Times New Roman" w:cs="Times New Roman"/>
          <w:b w:val="0"/>
          <w:i w:val="0"/>
          <w:sz w:val="20"/>
        </w:rPr>
        <w:t xml:space="preserve"> calendar day following the date on which an additional Registration Statement is required to be filed hereunder (or, in the event of a “full review” by the Commission, the 90</w:t>
      </w:r>
      <w:r>
        <w:rPr>
          <w:rFonts w:ascii="Times New Roman" w:eastAsia="Times New Roman" w:hAnsi="Times New Roman" w:cs="Times New Roman"/>
          <w:b w:val="0"/>
          <w:i w:val="0"/>
          <w:sz w:val="25"/>
          <w:vertAlign w:val="superscript"/>
        </w:rPr>
        <w:t>th</w:t>
      </w:r>
      <w:r>
        <w:rPr>
          <w:rFonts w:ascii="Times New Roman" w:eastAsia="Times New Roman" w:hAnsi="Times New Roman" w:cs="Times New Roman"/>
          <w:b w:val="0"/>
          <w:i w:val="0"/>
          <w:sz w:val="20"/>
        </w:rPr>
        <w:t xml:space="preserve"> calendar day following the date such additional Registration Statement is required to be filed hereunder); </w:t>
      </w:r>
      <w:r>
        <w:rPr>
          <w:rFonts w:ascii="Times New Roman" w:eastAsia="Times New Roman" w:hAnsi="Times New Roman" w:cs="Times New Roman"/>
          <w:b w:val="0"/>
          <w:i w:val="0"/>
          <w:color w:val="000000"/>
          <w:sz w:val="20"/>
          <w:u w:val="single"/>
        </w:rPr>
        <w:t>provided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single"/>
        </w:rPr>
        <w:t>however</w:t>
      </w:r>
      <w:r>
        <w:rPr>
          <w:rFonts w:ascii="Times New Roman" w:eastAsia="Times New Roman" w:hAnsi="Times New Roman" w:cs="Times New Roman"/>
          <w:b w:val="0"/>
          <w:i w:val="0"/>
          <w:sz w:val="20"/>
        </w:rPr>
        <w:t xml:space="preserve">, that in the event the Company is notified by the Commission that one or more of the above Registration Statements will not be reviewed or is no longer subject to further review and comments, the Effectiveness Date as to such Registration Statement shall be the fifth Trading Day following the date on which the Company is so notified if such date precedes the dates otherwise required above, provided, further, if such Effectiveness Date falls on a day that is not a Trading Day, then the Effectiveness Date shall be the next succeeding Trading Day; </w:t>
      </w:r>
      <w:r>
        <w:rPr>
          <w:rFonts w:ascii="Times New Roman" w:eastAsia="Times New Roman" w:hAnsi="Times New Roman" w:cs="Times New Roman"/>
          <w:b w:val="0"/>
          <w:i w:val="0"/>
          <w:color w:val="000000"/>
          <w:sz w:val="20"/>
          <w:u w:val="single"/>
        </w:rPr>
        <w:t>provided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single"/>
        </w:rPr>
        <w:t>further</w:t>
      </w:r>
      <w:r>
        <w:rPr>
          <w:rFonts w:ascii="Times New Roman" w:eastAsia="Times New Roman" w:hAnsi="Times New Roman" w:cs="Times New Roman"/>
          <w:b w:val="0"/>
          <w:i w:val="0"/>
          <w:sz w:val="20"/>
        </w:rPr>
        <w:t>, that if the Commission is closed for operations due to a government shutdown, the Effectiveness Date as to such Registration Statement shall be extended by the same amount of days that the Commission remains closed for operations.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Effectiveness Period</w:t>
      </w:r>
      <w:r>
        <w:rPr>
          <w:rFonts w:ascii="Times New Roman" w:eastAsia="Times New Roman" w:hAnsi="Times New Roman" w:cs="Times New Roman"/>
          <w:b w:val="0"/>
          <w:i w:val="0"/>
          <w:sz w:val="20"/>
        </w:rPr>
        <w:t>” shall have the meaning set forth in Section 2(a).</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Event</w:t>
      </w:r>
      <w:r>
        <w:rPr>
          <w:rFonts w:ascii="Times New Roman" w:eastAsia="Times New Roman" w:hAnsi="Times New Roman" w:cs="Times New Roman"/>
          <w:b w:val="0"/>
          <w:i w:val="0"/>
          <w:sz w:val="20"/>
        </w:rPr>
        <w:t>” shall have the meaning set forth in Section 2(d).</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Event Date</w:t>
      </w:r>
      <w:r>
        <w:rPr>
          <w:rFonts w:ascii="Times New Roman" w:eastAsia="Times New Roman" w:hAnsi="Times New Roman" w:cs="Times New Roman"/>
          <w:b w:val="0"/>
          <w:i w:val="0"/>
          <w:sz w:val="20"/>
        </w:rPr>
        <w:t>” shall have the meaning set forth in Section 2(d).</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Filing Date</w:t>
      </w:r>
      <w:r>
        <w:rPr>
          <w:rFonts w:ascii="Times New Roman" w:eastAsia="Times New Roman" w:hAnsi="Times New Roman" w:cs="Times New Roman"/>
          <w:b w:val="0"/>
          <w:i w:val="0"/>
          <w:sz w:val="20"/>
        </w:rPr>
        <w:t>” means, with respect to the Initial Registration Statement required hereunder, the forty-fifth (45th) day after the date hereof, and, with respect to any additional Registration Statements which may be required pursuant to Section 2(c) or Section 3(c), the earliest reasonably practical date following the date on which the Company is permitted by SEC Guidance to file such additional Registration Statement related to the Registrable Securities.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Holder</w:t>
      </w:r>
      <w:r>
        <w:rPr>
          <w:rFonts w:ascii="Times New Roman" w:eastAsia="Times New Roman" w:hAnsi="Times New Roman" w:cs="Times New Roman"/>
          <w:b w:val="0"/>
          <w:i w:val="0"/>
          <w:sz w:val="20"/>
        </w:rPr>
        <w:t>” or “</w:t>
      </w:r>
      <w:r>
        <w:rPr>
          <w:rFonts w:ascii="Times New Roman" w:eastAsia="Times New Roman" w:hAnsi="Times New Roman" w:cs="Times New Roman"/>
          <w:b w:val="0"/>
          <w:i w:val="0"/>
          <w:color w:val="000000"/>
          <w:sz w:val="20"/>
          <w:u w:val="single"/>
        </w:rPr>
        <w:t>Holders</w:t>
      </w:r>
      <w:r>
        <w:rPr>
          <w:rFonts w:ascii="Times New Roman" w:eastAsia="Times New Roman" w:hAnsi="Times New Roman" w:cs="Times New Roman"/>
          <w:b w:val="0"/>
          <w:i w:val="0"/>
          <w:sz w:val="20"/>
        </w:rPr>
        <w:t>” means the holder or holders, as the case may be, from time to time of Registrable Securities.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Indemnified Party</w:t>
      </w:r>
      <w:r>
        <w:rPr>
          <w:rFonts w:ascii="Times New Roman" w:eastAsia="Times New Roman" w:hAnsi="Times New Roman" w:cs="Times New Roman"/>
          <w:b w:val="0"/>
          <w:i w:val="0"/>
          <w:sz w:val="20"/>
        </w:rPr>
        <w:t>” shall have the meaning set forth in Section 5(c).</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Indemnifying Party</w:t>
      </w:r>
      <w:r>
        <w:rPr>
          <w:rFonts w:ascii="Times New Roman" w:eastAsia="Times New Roman" w:hAnsi="Times New Roman" w:cs="Times New Roman"/>
          <w:b w:val="0"/>
          <w:i w:val="0"/>
          <w:sz w:val="20"/>
        </w:rPr>
        <w:t>” shall have the meaning set forth in Section 5(c).</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Initial Registration Statement</w:t>
      </w:r>
      <w:r>
        <w:rPr>
          <w:rFonts w:ascii="Times New Roman" w:eastAsia="Times New Roman" w:hAnsi="Times New Roman" w:cs="Times New Roman"/>
          <w:b w:val="0"/>
          <w:i w:val="0"/>
          <w:sz w:val="20"/>
        </w:rPr>
        <w:t>” means the initial Registration Statement filed pursuant to this Agreement.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Losses</w:t>
      </w:r>
      <w:r>
        <w:rPr>
          <w:rFonts w:ascii="Times New Roman" w:eastAsia="Times New Roman" w:hAnsi="Times New Roman" w:cs="Times New Roman"/>
          <w:b w:val="0"/>
          <w:i w:val="0"/>
          <w:sz w:val="20"/>
        </w:rPr>
        <w:t>” shall have the meaning set forth in Section 5(a).</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Plan of Distribution</w:t>
      </w:r>
      <w:r>
        <w:rPr>
          <w:rFonts w:ascii="Times New Roman" w:eastAsia="Times New Roman" w:hAnsi="Times New Roman" w:cs="Times New Roman"/>
          <w:b w:val="0"/>
          <w:i w:val="0"/>
          <w:sz w:val="20"/>
        </w:rPr>
        <w:t>” shall have the meaning set forth in Section 2(a).</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Prospectus</w:t>
      </w:r>
      <w:r>
        <w:rPr>
          <w:rFonts w:ascii="Times New Roman" w:eastAsia="Times New Roman" w:hAnsi="Times New Roman" w:cs="Times New Roman"/>
          <w:b w:val="0"/>
          <w:i w:val="0"/>
          <w:sz w:val="20"/>
        </w:rPr>
        <w:t>” means the prospectus included in a Registration Statement (including, without limitation, a prospectus that includes any information previously omitted from a prospectus filed as part of an effective registration statement in reliance upon Rule 430A promulgated by the Commission pursuant to the Securities Act), as amended or supplemented by any prospectus supplement, with respect to the terms of the offering of any portion of the Registrable Securities covered by a Registration Statement, and all other amendments and supplements to the Prospectus, including post-effective amendments, and all material incorporated by reference or deemed to be incorporated by reference in such Prospectus.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Registrable Securities</w:t>
      </w:r>
      <w:r>
        <w:rPr>
          <w:rFonts w:ascii="Times New Roman" w:eastAsia="Times New Roman" w:hAnsi="Times New Roman" w:cs="Times New Roman"/>
          <w:b w:val="0"/>
          <w:i w:val="0"/>
          <w:sz w:val="20"/>
        </w:rPr>
        <w:t xml:space="preserve">” means, as of any date of determination, (a) all Shares, (b) all Pre-Funded Warrant Shares then issued and issuable upon exercise of the Pre-Funded Warrants (assuming on such date the Pre-Funded Warrants are exercised in full without regard to any exercise limitations therein) and (c) any securities issued or then issuable upon any stock split, stock dividend or other distribution, recapitalization or similar event with respect to the foregoing; </w:t>
      </w:r>
      <w:r>
        <w:rPr>
          <w:rFonts w:ascii="Times New Roman" w:eastAsia="Times New Roman" w:hAnsi="Times New Roman" w:cs="Times New Roman"/>
          <w:b w:val="0"/>
          <w:i w:val="0"/>
          <w:color w:val="000000"/>
          <w:sz w:val="20"/>
          <w:u w:val="single"/>
        </w:rPr>
        <w:t>provided, however</w:t>
      </w:r>
      <w:r>
        <w:rPr>
          <w:rFonts w:ascii="Times New Roman" w:eastAsia="Times New Roman" w:hAnsi="Times New Roman" w:cs="Times New Roman"/>
          <w:b w:val="0"/>
          <w:i w:val="0"/>
          <w:sz w:val="20"/>
        </w:rPr>
        <w:t>, that any such Registrable Securities shall cease to be  Registrable Securities (and the Company shall not be required to maintain the effectiveness of any, or file another, Registration Statement hereunder with respect thereto) if (x) a Registration Statement with respect to the sale of such Registrable Securities is declared effective by the Commission under the Securities Act and such Registrable Securities have been disposed of by the Holder in accordance with such effective Registration Statement, (y) such Registrable Securities have been previously sold in accordance with Rule 144, or (z) such Registrable Securities have become eligible for resale without volume or manner-of-sale restrictions and without the requirement for the Company to be in compliance with the current public information requirement under Rule 144 (and, solely for purposes of this clause (z), any Pre-Funded Warrant Shares shall be deemed to have been acquired upon a cashless exercise of the applicable Pre-Funded Warrant in accordance with Section 3(a)(9) of the Securities Act).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Registration Statement</w:t>
      </w:r>
      <w:r>
        <w:rPr>
          <w:rFonts w:ascii="Times New Roman" w:eastAsia="Times New Roman" w:hAnsi="Times New Roman" w:cs="Times New Roman"/>
          <w:b w:val="0"/>
          <w:i w:val="0"/>
          <w:sz w:val="20"/>
        </w:rPr>
        <w:t>” means any registration statement required to be filed hereunder pursuant to Section 2(a) and any additional registration statements contemplated by Section 2(c) or Section 3(c), including (in each case) the Prospectus, amendments and supplements to any such registration statement or Prospectus, including pre- and post-effective amendments, all exhibits thereto and all material incorporated by reference or deemed to be incorporated by reference in any such registration statement.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Rule 415</w:t>
      </w:r>
      <w:r>
        <w:rPr>
          <w:rFonts w:ascii="Times New Roman" w:eastAsia="Times New Roman" w:hAnsi="Times New Roman" w:cs="Times New Roman"/>
          <w:b w:val="0"/>
          <w:i w:val="0"/>
          <w:sz w:val="20"/>
        </w:rPr>
        <w:t>” means Rule 415 promulgated by the Commission pursuant to the Securities Act, as such Rule may be amended or interpreted from time to time, or any similar rule or regulation hereafter adopted by the Commission having substantially the same purpose and effect as such Rule.</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Rule 424</w:t>
      </w:r>
      <w:r>
        <w:rPr>
          <w:rFonts w:ascii="Times New Roman" w:eastAsia="Times New Roman" w:hAnsi="Times New Roman" w:cs="Times New Roman"/>
          <w:b w:val="0"/>
          <w:i w:val="0"/>
          <w:sz w:val="20"/>
        </w:rPr>
        <w:t>” means Rule 424 promulgated by the Commission pursuant to the Securities Act, as such Rule may be amended or interpreted from time to time, or any similar rule or regulation hereafter adopted by the Commission having substantially the same purpose and effect as such Rule.</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SEC Guidance</w:t>
      </w:r>
      <w:r>
        <w:rPr>
          <w:rFonts w:ascii="Times New Roman" w:eastAsia="Times New Roman" w:hAnsi="Times New Roman" w:cs="Times New Roman"/>
          <w:b w:val="0"/>
          <w:i w:val="0"/>
          <w:sz w:val="20"/>
        </w:rPr>
        <w:t xml:space="preserve">” means (i) any publicly available written or oral guidance of the Commission staff, or any comments, requirements or requests of the Commission staff and (ii) the Securities Act. </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Selling Stockholder Questionnaire</w:t>
      </w:r>
      <w:r>
        <w:rPr>
          <w:rFonts w:ascii="Times New Roman" w:eastAsia="Times New Roman" w:hAnsi="Times New Roman" w:cs="Times New Roman"/>
          <w:b w:val="0"/>
          <w:i w:val="0"/>
          <w:sz w:val="20"/>
        </w:rPr>
        <w:t>” shall have the meaning set forth in Section 3(a).</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color w:val="000000"/>
          <w:sz w:val="20"/>
          <w:u w:val="single"/>
        </w:rPr>
        <w:t>Shares</w:t>
      </w:r>
      <w:r>
        <w:rPr>
          <w:rFonts w:ascii="Times New Roman" w:eastAsia="Times New Roman" w:hAnsi="Times New Roman" w:cs="Times New Roman"/>
          <w:b w:val="0"/>
          <w:i w:val="0"/>
          <w:sz w:val="20"/>
        </w:rPr>
        <w:t>” mean the shares of Common Stock issued or issuable to each Purchaser pursuant to the Purchase Agreement.</w:t>
      </w:r>
    </w:p>
    <w:p w:rsidR="00A77B3E">
      <w:pPr>
        <w:keepNext w:val="0"/>
        <w:keepLines w:val="0"/>
        <w:pageBreakBefore w:val="0"/>
        <w:widowControl/>
        <w:numPr>
          <w:ilvl w:val="0"/>
          <w:numId w:val="0"/>
        </w:numPr>
        <w:spacing w:before="240" w:after="240" w:line="288" w:lineRule="auto"/>
        <w:ind w:left="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2. </w:t>
      </w:r>
      <w:r>
        <w:rPr>
          <w:rFonts w:ascii="Times New Roman" w:eastAsia="Times New Roman" w:hAnsi="Times New Roman" w:cs="Times New Roman"/>
          <w:b w:val="0"/>
          <w:i w:val="0"/>
          <w:color w:val="000000"/>
          <w:sz w:val="20"/>
          <w:u w:val="single"/>
        </w:rPr>
        <w:t>Shelf Registration</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 On or prior to each Filing Date, the Company shall prepare and file with the Commission a Registration Statement covering the resale of all of the Registrable Securities that are not then registered on an effective Registration Statement for an offering to be made on a continuous basis pursuant to Rule 415. Each Registration Statement filed hereunder shall be on Form S-3 (except if the Company is not then eligible to register for resale the Registrable Securities on Form S-3, in which case such registration shall be on Form S-1 or on another appropriate form in accordance herewith, subject to the provisions of Section 2(e)) and shall contain (unless otherwise directed by at least 85% in interest of the Holders and except if otherwise required pursuant to written comments received from the Commission upon a review of such Registration Statement) substantially the “</w:t>
      </w:r>
      <w:r>
        <w:rPr>
          <w:rFonts w:ascii="Times New Roman" w:eastAsia="Times New Roman" w:hAnsi="Times New Roman" w:cs="Times New Roman"/>
          <w:b w:val="0"/>
          <w:i w:val="0"/>
          <w:color w:val="000000"/>
          <w:sz w:val="20"/>
          <w:u w:val="single"/>
        </w:rPr>
        <w:t>Plan of Distribution</w:t>
      </w:r>
      <w:r>
        <w:rPr>
          <w:rFonts w:ascii="Times New Roman" w:eastAsia="Times New Roman" w:hAnsi="Times New Roman" w:cs="Times New Roman"/>
          <w:b w:val="0"/>
          <w:i w:val="0"/>
          <w:sz w:val="20"/>
        </w:rPr>
        <w:t xml:space="preserve">” attached hereto as </w:t>
      </w:r>
      <w:r>
        <w:rPr>
          <w:rFonts w:ascii="Times New Roman" w:eastAsia="Times New Roman" w:hAnsi="Times New Roman" w:cs="Times New Roman"/>
          <w:b w:val="0"/>
          <w:i w:val="0"/>
          <w:color w:val="000000"/>
          <w:sz w:val="20"/>
          <w:u w:val="single"/>
        </w:rPr>
        <w:t>Annex A</w:t>
      </w:r>
      <w:r>
        <w:rPr>
          <w:rFonts w:ascii="Times New Roman" w:eastAsia="Times New Roman" w:hAnsi="Times New Roman" w:cs="Times New Roman"/>
          <w:b w:val="0"/>
          <w:i w:val="0"/>
          <w:sz w:val="20"/>
        </w:rPr>
        <w:t>. Subject to the terms of this Agreement, the Company shall use its commercially reasonable efforts to cause a Registration Statement filed under this Agreement (including, without limitation, under Section 3(c)) to be declared effective under the Securities Act as promptly as reasonably possible after the filing thereof, but in any event no later than the applicable Effectiveness Date, and shall use its commercially reasonable efforts to keep such Registration Statement continuously effective under the Securities Act until the date that all Registrable Securities covered by such Registration Statement no longer constitute Registrable Securities (the “</w:t>
      </w:r>
      <w:r>
        <w:rPr>
          <w:rFonts w:ascii="Times New Roman" w:eastAsia="Times New Roman" w:hAnsi="Times New Roman" w:cs="Times New Roman"/>
          <w:b w:val="0"/>
          <w:i w:val="0"/>
          <w:color w:val="000000"/>
          <w:sz w:val="20"/>
          <w:u w:val="single"/>
        </w:rPr>
        <w:t>Effectiveness Period</w:t>
      </w:r>
      <w:r>
        <w:rPr>
          <w:rFonts w:ascii="Times New Roman" w:eastAsia="Times New Roman" w:hAnsi="Times New Roman" w:cs="Times New Roman"/>
          <w:b w:val="0"/>
          <w:i w:val="0"/>
          <w:sz w:val="20"/>
        </w:rPr>
        <w:t xml:space="preserve">”). The Company shall request acceleration of effectiveness of a Registration Statement no later than 5:00 p.m. (New York City time) on a Trading Day. The Company shall by 4:00 p.m. (New York City time) on the Trading Day after the effective date of such Registration Statement, file a final Prospectus with the Commission as required by Rule 424. </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(b) Notwithstanding the registration obligations set forth in Section 2(a), if the Commission informs the Company that all of the Registrable Securities cannot, as a result of the application of Rule 415, be registered for resale as a secondary offering on a single registration statement, the Company agrees to promptly inform each of the Holders thereof and use its commercially reasonable efforts to file amendments to the Initial Registration Statement as required by the Commission, covering the maximum number of Registrable Securities permitted to be registered by the Commission, on Form S-1 or such other form available to register for resale the Registrable Securities as a secondary offering, subject to the provisions of Section 2(e); </w:t>
      </w:r>
      <w:r>
        <w:rPr>
          <w:rFonts w:ascii="Times New Roman" w:eastAsia="Times New Roman" w:hAnsi="Times New Roman" w:cs="Times New Roman"/>
          <w:b w:val="0"/>
          <w:i w:val="0"/>
          <w:color w:val="000000"/>
          <w:sz w:val="20"/>
          <w:u w:val="single"/>
        </w:rPr>
        <w:t>provided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single"/>
        </w:rPr>
        <w:t>however</w:t>
      </w:r>
      <w:r>
        <w:rPr>
          <w:rFonts w:ascii="Times New Roman" w:eastAsia="Times New Roman" w:hAnsi="Times New Roman" w:cs="Times New Roman"/>
          <w:b w:val="0"/>
          <w:i w:val="0"/>
          <w:sz w:val="20"/>
        </w:rPr>
        <w:t>, that prior to filing such amendment, the Company shall be obligated to use diligent efforts to advocate with the Commission for the registration of all of the Registrable Securities in accordance with the SEC Guidance, including without limitation, Compliance and Disclosure Interpretation 612.09.</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 Notwithstanding any other provision of this Agreement and subject to the payment of liquidated damages pursuant to Section 2(d), if the Commission or any SEC Guidance sets forth a limitation on the number of Registrable Securities permitted to be registered on a particular Registration Statement as a secondary offering (and notwithstanding that the Company used diligent efforts to advocate with the Commission for the registration of all or a greater portion of Registrable Securities), unless otherwise directed in writing by a Holder as to its Registrable Securities or otherwise directed by the staff of the Commission, the number of Registrable Securities to be registered on such Registration Statement will be reduced as follows:</w:t>
      </w:r>
    </w:p>
    <w:p>
      <w:pPr>
        <w:pStyle w:val="ListParagraph-wk"/>
        <w:keepNext w:val="0"/>
        <w:keepLines w:val="0"/>
        <w:pageBreakBefore w:val="0"/>
        <w:widowControl/>
        <w:numPr>
          <w:ilvl w:val="0"/>
          <w:numId w:val="14"/>
        </w:numPr>
        <w:spacing w:before="0" w:after="0" w:line="288" w:lineRule="auto"/>
        <w:ind w:left="1487" w:right="0" w:firstLine="493"/>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First, the Company shall reduce or eliminate any securities to be included other than Registrable Securities; and</w:t>
      </w:r>
    </w:p>
    <w:p w:rsidR="00A77B3E">
      <w:pPr>
        <w:keepNext w:val="0"/>
        <w:keepLines w:val="0"/>
        <w:pageBreakBefore w:val="0"/>
        <w:widowControl/>
        <w:numPr>
          <w:ilvl w:val="0"/>
          <w:numId w:val="0"/>
        </w:numPr>
        <w:spacing w:before="0" w:after="0" w:line="288" w:lineRule="auto"/>
        <w:ind w:left="1487" w:right="0" w:firstLine="0"/>
        <w:jc w:val="both"/>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4"/>
        </w:numPr>
        <w:spacing w:before="0" w:after="240" w:line="288" w:lineRule="auto"/>
        <w:ind w:left="1487" w:right="0" w:firstLine="403"/>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Second, the Company shall reduce Registrable Securities represented by Shares and Pre-Funded Warrant Shares (applied, in the case that some Shares and Pre-Funded Warrant Shares may be registered, to the Holders) on a pro rata basis based on the total number of unregistered Shares and Pre-Funded Warrant Shares held by such Holders.</w:t>
      </w:r>
    </w:p>
    <w:p w:rsidR="00A77B3E">
      <w:pPr>
        <w:keepNext w:val="0"/>
        <w:keepLines w:val="0"/>
        <w:pageBreakBefore w:val="0"/>
        <w:widowControl/>
        <w:numPr>
          <w:ilvl w:val="0"/>
          <w:numId w:val="0"/>
        </w:numPr>
        <w:spacing w:before="240" w:after="240" w:line="288" w:lineRule="auto"/>
        <w:ind w:left="72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 the event of a cutback hereunder, the Company shall give the Holder at least three (3) Trading Days prior written notice along with the calculations as to such Holder’s allotment, and the Company’s obligations. In the event the Company amends the Initial Registration Statement in accordance with the foregoing, the Company will use its commercially reasonable efforts to file with the Commission, as promptly as reasonably possible after the time allowed by Commission or SEC Guidance provided to the Company or to registrants of securities in general, one or more registration statements on Form S-1 or such other form available to register for resale those Registrable Securities that were not registered for resale on the Initial Registration Statement, as amended.</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 If: (i) the Initial Registration Statement is not filed on or prior to its Filing Date (if the Company files the Initial Registration Statement without affording the Holders the opportunity to review and comment on the same as required by Section 3(a) herein or the Company subsequently withdraws the filing of the Registration Statement, the Company shall be deemed to have not satisfied this clause (i) as of the Filing Date), or (ii) the Company fails to file with the Commission a request for acceleration of a Registration Statement in accordance with Rule 461 promulgated by the Commission pursuant to the Securities Act, within three (3) Trading Days of the date that the Company is notified (orally or in writing, whichever is earlier) by the Commission that such Registration Statement will not be “reviewed” or will not be subject to further review, or (iii) prior to the effective date of a Registration Statement, the Company fails to file a pre-effective amendment and otherwise respond in writing to comments made by the Commission in respect of such Registration Statement as soon as reasonably practicable under the circumstances after the receipt of comments by or notice from the Commission that such amendment is required in order for such Registration Statement to be declared effective, or (iv) a Registration Statement registering for resale all of the Registrable Securities is not declared effective by the Commission by the Effectiveness Date of the Initial Registration Statement (provided that, if the Registration Statement does not allow for the resale of Registrable Securities at prevailing market prices (i.e., only allows for fixed price sales), the Company shall have been deemed to have not satisfied this clause and any such event or circumstance shall thus constitute an “Event” as defined below) or (v) after the effective date of a Registration Statement, such Registration Statement ceases for any reason to remain continuously effective as to all Registrable Securities included in such Registration Statement, or the Holders are suspended from or otherwise not permitted to utilize the Prospectus therein to resell such Registrable Securities (including due to an Allowed Delay), in either case, for more than fifteen (15) consecutive calendar days or more than an aggregate of twenty five (25) calendar days (which need not be consecutive calendar days) during any 12-month period (any such failure or breach being referred to as an “</w:t>
      </w:r>
      <w:r>
        <w:rPr>
          <w:rFonts w:ascii="Times New Roman" w:eastAsia="Times New Roman" w:hAnsi="Times New Roman" w:cs="Times New Roman"/>
          <w:b w:val="0"/>
          <w:i w:val="0"/>
          <w:color w:val="000000"/>
          <w:sz w:val="20"/>
          <w:u w:val="single"/>
        </w:rPr>
        <w:t>Event</w:t>
      </w:r>
      <w:r>
        <w:rPr>
          <w:rFonts w:ascii="Times New Roman" w:eastAsia="Times New Roman" w:hAnsi="Times New Roman" w:cs="Times New Roman"/>
          <w:b w:val="0"/>
          <w:i w:val="0"/>
          <w:sz w:val="20"/>
        </w:rPr>
        <w:t>”, and for purposes of clauses (i) and (iv), the date on which such Event occurs, and for purpose of clause (ii) the date on which such three (3) Trading Day period is exceeded, and for purpose of clause (v) the date on which such fifteen (15) or twenty five (25) calendar day period, as applicable, is exceeded being referred to as “</w:t>
      </w:r>
      <w:r>
        <w:rPr>
          <w:rFonts w:ascii="Times New Roman" w:eastAsia="Times New Roman" w:hAnsi="Times New Roman" w:cs="Times New Roman"/>
          <w:b w:val="0"/>
          <w:i w:val="0"/>
          <w:color w:val="000000"/>
          <w:sz w:val="20"/>
          <w:u w:val="single"/>
        </w:rPr>
        <w:t>Event Date</w:t>
      </w:r>
      <w:r>
        <w:rPr>
          <w:rFonts w:ascii="Times New Roman" w:eastAsia="Times New Roman" w:hAnsi="Times New Roman" w:cs="Times New Roman"/>
          <w:b w:val="0"/>
          <w:i w:val="0"/>
          <w:sz w:val="20"/>
        </w:rPr>
        <w:t>”), then, in addition to any other rights the Holders may have hereunder or under applicable law, on each such Event Date and on each monthly anniversary of each such Event Date (if the applicable Event shall not have been cured by such date) until the earlier of (1) the date that the applicable Event is cured and (2) the Registrable Securities are eligible for resale pursuant to Rule 144 without manner of sale or volume restrictions, the Company shall pay to each Holder an amount in cash, as partial liquidated damages and not as a penalty, equal to the product of 1.0% multiplied by the aggregate Subscription Amount paid by such Holder pursuant to the Purchase Agreement for any unregistered Registrable Securities then held by such Holder. The parties agree that (1) notwithstanding anything to the contrary herein or in the Purchase Agreement, no Liquidated Damages shall be payable with respect to any period after the expiration of the Effectiveness Period (it being understood that this sentence shall not relieve the Company of any Liquidated Damages accruing prior to the Effectiveness Date) and the maximum aggregate liquidated damages payable to a Holder under this Agreement shall be 6.0% of the aggregate Subscription Amount paid by such Holder pursuant to the Purchase Agreement, and (2) in no event shall the Company be liable in any 30-day period for Liquidated Damages under this Agreement in excess of 1.0% of the aggregate purchase price paid by the Holders; provided, that the Company shall not be required to make any payments pursuant to this Section 2(d) with respect to any Registrable Securities the Company is unable to register due to limits imposed by the Commission’s interpretation of Rule 415 under the Securities Act as contemplated by Section 2(b) or in respect of any Permitted Suspension Period (as provided in Section 3(j)). If the Company fails to pay any partial liquidated damages pursuant to this Section in full within seven days after the date payable, the Company will pay interest thereon at a rate of 12% per annum (or such lesser maximum amount that is permitted to be paid by applicable law) to the Holder, accruing daily from the date such partial liquidated damages are due until such amounts, plus all such interest thereon, are paid in full. The partial liquidated damages pursuant to the terms hereof shall apply on a daily pro rata basis for any portion of a month prior to the cure of an Event.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 Notwithstanding anything to the contrary contained herein, in no event shall the Company be permitted to name any Holder or affiliate of a Holder as any Underwriter without the prior written consent of such Holder; provided that, if the Commission staff requests that a Holder or affiliate thereof be identified as a statutory underwriter in a Registration Statement, then such Holder will have the option, in its sole and absolute discretion, to either (i) have the opportunity to withdraw its Registrable Securities from the Registration Statement upon its prompt written request to the Company, in which case the Company’s obligation to register such Holder’s Registrable Securities shall be deemed satisfied in full, or (ii) be included as such (or have its affiliate included as such) in the Registration Statement.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 For not more than fifteen (15) consecutive calendar days or for a total of not more than twenty-five (25) calendar days in any twelve (12) month period, the Company may suspend the use of any Prospectus included in any Registration Statement contemplated by this Section 2 in the event that the Company determines in good faith that such suspension is necessary to (A) delay the disclosure of material non-public information concerning the Company, the disclosure of which at the time is not, in the good faith opinion of the Company, in the best interests of the Company or (B) amend or supplement the Registration Statement or the related Prospectus so that such Registration Statement or Prospectus shall not include an untrue statement of a material fact or omit to state a material fact required to be stated therein or necessary to make the statements therein, in the case of the Prospectus in light of the circumstances under which they were made, not misleading (an “</w:t>
      </w:r>
      <w:r>
        <w:rPr>
          <w:rFonts w:ascii="Times New Roman" w:eastAsia="Times New Roman" w:hAnsi="Times New Roman" w:cs="Times New Roman"/>
          <w:b w:val="0"/>
          <w:i w:val="0"/>
          <w:color w:val="000000"/>
          <w:sz w:val="20"/>
          <w:u w:val="single"/>
        </w:rPr>
        <w:t>Allowed Delay</w:t>
      </w:r>
      <w:r>
        <w:rPr>
          <w:rFonts w:ascii="Times New Roman" w:eastAsia="Times New Roman" w:hAnsi="Times New Roman" w:cs="Times New Roman"/>
          <w:b w:val="0"/>
          <w:i w:val="0"/>
          <w:sz w:val="20"/>
        </w:rPr>
        <w:t>”); provided, that the Company shall promptly (a) notify each Holder in writing of the commencement of and the reasons for an Allowed Delay, but shall not (without the prior written consent of a Holder) disclose to such Purchaser any material non-public information giving rise to an Allowed Delay, (b) advise the Holders in writing to cease all sales under the Registration Statement until the end of the Allowed Delay and (c) use commercially reasonable efforts to terminate an Allowed Delay as promptly as practicable</w:t>
      </w:r>
    </w:p>
    <w:p w:rsidR="00A77B3E">
      <w:pPr>
        <w:keepNext w:val="0"/>
        <w:keepLines w:val="0"/>
        <w:pageBreakBefore w:val="0"/>
        <w:widowControl/>
        <w:numPr>
          <w:ilvl w:val="0"/>
          <w:numId w:val="0"/>
        </w:numPr>
        <w:spacing w:before="0" w:after="240" w:line="288" w:lineRule="auto"/>
        <w:ind w:left="36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3. </w:t>
      </w:r>
      <w:r>
        <w:rPr>
          <w:rFonts w:ascii="Times New Roman" w:eastAsia="Times New Roman" w:hAnsi="Times New Roman" w:cs="Times New Roman"/>
          <w:b w:val="0"/>
          <w:i w:val="0"/>
          <w:color w:val="000000"/>
          <w:sz w:val="20"/>
          <w:u w:val="single"/>
        </w:rPr>
        <w:t>Registration Procedures</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36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 connection with the Company’s registration obligations hereunder, the Company shall:</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(a) Not less than one (1) Trading Day prior to the filing of the Initial Registration Statement and not less than three (3) Trading Days prior to the filing of each additional Registration Statement and not less than one (1) Trading Day prior to the filing of any related Prospectus or any amendment or supplement thereto (including any document that would be incorporated or deemed to be incorporated therein by reference), the Company shall (i) furnish to each Holder copies of all such documents proposed to be filed, which documents (other than those incorporated or deemed to be incorporated by reference) will be subject to the review of such Holders, and (ii) cause its officers and directors, counsel and independent registered public accountants to respond to such inquiries as shall be necessary, in the reasonable opinion of respective counsel to each Holder, to conduct a reasonable investigation within the meaning of the Securities Act. The Company shall not file a Registration Statement or any such Prospectus or any amendments or supplements thereto to which the Holders of a majority of the Registrable Securities shall reasonably object in good faith, provided that, the Company is notified of such objection in writing no later than three (3) Trading Days after the Holders have been so furnished copies of a Registration Statement or one (1) Trading Day after the Holders have been so furnished copies of any related Prospectus or amendments or supplements thereto. Each Holder agrees to furnish to the Company a completed questionnaire in the form attached to this Agreement as </w:t>
      </w:r>
      <w:r>
        <w:rPr>
          <w:rFonts w:ascii="Times New Roman" w:eastAsia="Times New Roman" w:hAnsi="Times New Roman" w:cs="Times New Roman"/>
          <w:b w:val="0"/>
          <w:i w:val="0"/>
          <w:color w:val="000000"/>
          <w:sz w:val="20"/>
          <w:u w:val="single"/>
        </w:rPr>
        <w:t xml:space="preserve">Annex B </w:t>
      </w:r>
      <w:r>
        <w:rPr>
          <w:rFonts w:ascii="Times New Roman" w:eastAsia="Times New Roman" w:hAnsi="Times New Roman" w:cs="Times New Roman"/>
          <w:b w:val="0"/>
          <w:i w:val="0"/>
          <w:sz w:val="20"/>
        </w:rPr>
        <w:t>(a “</w:t>
      </w:r>
      <w:r>
        <w:rPr>
          <w:rFonts w:ascii="Times New Roman" w:eastAsia="Times New Roman" w:hAnsi="Times New Roman" w:cs="Times New Roman"/>
          <w:b w:val="0"/>
          <w:i w:val="0"/>
          <w:color w:val="000000"/>
          <w:sz w:val="20"/>
          <w:u w:val="single"/>
        </w:rPr>
        <w:t>Selling Stockholder Questionnaire</w:t>
      </w:r>
      <w:r>
        <w:rPr>
          <w:rFonts w:ascii="Times New Roman" w:eastAsia="Times New Roman" w:hAnsi="Times New Roman" w:cs="Times New Roman"/>
          <w:b w:val="0"/>
          <w:i w:val="0"/>
          <w:sz w:val="20"/>
        </w:rPr>
        <w:t>”) on a date that is not later than the earlier of (i)  three (3) Trading Days prior to the Filing Date or (ii) the end of the third (3</w:t>
      </w:r>
      <w:r>
        <w:rPr>
          <w:rFonts w:ascii="Times New Roman" w:eastAsia="Times New Roman" w:hAnsi="Times New Roman" w:cs="Times New Roman"/>
          <w:b w:val="0"/>
          <w:i w:val="0"/>
          <w:sz w:val="25"/>
          <w:vertAlign w:val="superscript"/>
        </w:rPr>
        <w:t>rd</w:t>
      </w:r>
      <w:r>
        <w:rPr>
          <w:rFonts w:ascii="Times New Roman" w:eastAsia="Times New Roman" w:hAnsi="Times New Roman" w:cs="Times New Roman"/>
          <w:b w:val="0"/>
          <w:i w:val="0"/>
          <w:sz w:val="20"/>
        </w:rPr>
        <w:t>) Trading Day following the date on which such Holder receives draft materials in accordance with this Section. In addition to the Selling Stockholder Questionnaire, each Holder shall furnish such other information as shall be reasonably required to effect the registration of such Registrable Securities, and shall execute such documents in connection with such registration as the Company may reasonably request.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(b) </w:t>
      </w:r>
    </w:p>
    <w:p>
      <w:pPr>
        <w:pStyle w:val="ListParagraph-wk"/>
        <w:keepNext w:val="0"/>
        <w:keepLines w:val="0"/>
        <w:pageBreakBefore w:val="0"/>
        <w:widowControl/>
        <w:numPr>
          <w:ilvl w:val="0"/>
          <w:numId w:val="15"/>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Prepare and file with the Commission such amendments, including post-effective amendments, to a Registration Statement and the Prospectus used in connection therewith as may be necessary to keep a Registration Statement continuously effective as to the applicable Registrable Securities for the Effectiveness Period and prepare and file with the Commission such additional Registration Statements in order to register for resale under the Securities Act all of the Registrable Securities, </w:t>
      </w:r>
    </w:p>
    <w:p w:rsidR="00A77B3E">
      <w:pPr>
        <w:keepNext w:val="0"/>
        <w:keepLines w:val="0"/>
        <w:pageBreakBefore w:val="0"/>
        <w:widowControl/>
        <w:numPr>
          <w:ilvl w:val="0"/>
          <w:numId w:val="0"/>
        </w:numPr>
        <w:spacing w:before="0" w:after="0" w:line="288" w:lineRule="auto"/>
        <w:ind w:left="1710" w:right="0" w:firstLine="0"/>
        <w:jc w:val="both"/>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5"/>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cause the related Prospectus to be amended or supplemented by any required Prospectus supplement (subject to the terms of this Agreement), and, as so supplemented or amended, to be filed pursuant to Rule 424, and</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5"/>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respond as promptly as reasonably possible to any comments received from the Commission with respect to a Registration Statement or any amendment thereto and provide as promptly as reasonably possible to the Holders true and complete copies of all correspondence from and to the Commission relating to a Registration Statement (provided that, the Company shall excise any information contained therein which would constitute material non-public information regarding the Company or any of its Subsidiaries); and </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5"/>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comply in all material respects with the provisions of the Securities Act and the Exchange Act applicable to the Company with respect to the disposition by the Holders of all Registrable Securities covered by a Registration Statement during the applicable period in accordance (subject to the terms of this Agreement) with the intended methods of disposition by the Holders thereof set forth in such Registration Statement as so amended or in such Prospectus as so supplemented.</w:t>
      </w:r>
    </w:p>
    <w:p w:rsidR="00A77B3E">
      <w:pPr>
        <w:keepNext w:val="0"/>
        <w:keepLines w:val="0"/>
        <w:pageBreakBefore w:val="0"/>
        <w:widowControl/>
        <w:numPr>
          <w:ilvl w:val="0"/>
          <w:numId w:val="0"/>
        </w:numPr>
        <w:spacing w:before="0" w:after="240" w:line="288" w:lineRule="auto"/>
        <w:ind w:left="1710" w:right="0" w:firstLine="0"/>
        <w:jc w:val="both"/>
        <w:outlineLvl w:val="9"/>
        <w:rPr>
          <w:rFonts w:ascii="Times New Roman" w:eastAsia="Times New Roman" w:hAnsi="Times New Roman" w:cs="Times New Roman"/>
          <w:b w:val="0"/>
          <w:i w:val="0"/>
          <w:color w:val="000000"/>
          <w:sz w:val="20"/>
          <w:u w:val="none"/>
        </w:rPr>
      </w:pP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 If during the Effectiveness Period, the number of Registrable Securities at any time exceeds 100% of the number of shares of Common Stock then registered in a Registration Statement, then the Company shall file as soon as reasonably practicable, but in any case prior to the applicable Filing Date, an additional Registration Statement covering the resale by the Holders of not less than the number of such Registrable Securities.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 Notify the Holders of Registrable Securities to be sold (which notice shall, pursuant to clauses (iii) through (vi) hereof, be accompanied by an instruction to suspend the use of the Prospectus until the requisite changes have been made) as promptly as reasonably possible (and, in the case of (i)(A) below, not less than one (1) Trading Day prior to such filing) and (if requested by any such Person) confirm such notice in writing no later than one (1) Trading Day following the day: </w:t>
      </w:r>
    </w:p>
    <w:p>
      <w:pPr>
        <w:pStyle w:val="ListParagraph-wk"/>
        <w:keepNext w:val="0"/>
        <w:keepLines w:val="0"/>
        <w:pageBreakBefore w:val="0"/>
        <w:widowControl/>
        <w:numPr>
          <w:ilvl w:val="0"/>
          <w:numId w:val="16"/>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(A) when a Prospectus or any Prospectus supplement or post-effective amendment to a Registration Statement is proposed to be filed, (B) when the Commission notifies the Company whether there will be a “review” of such Registration Statement and whenever the Commission comments in writing on such Registration Statement, and (C) with respect to a Registration Statement or any post-effective amendment, when the same has become effective, </w:t>
      </w:r>
    </w:p>
    <w:p w:rsidR="00A77B3E">
      <w:pPr>
        <w:keepNext w:val="0"/>
        <w:keepLines w:val="0"/>
        <w:pageBreakBefore w:val="0"/>
        <w:widowControl/>
        <w:numPr>
          <w:ilvl w:val="0"/>
          <w:numId w:val="0"/>
        </w:numPr>
        <w:spacing w:before="0" w:after="0" w:line="288" w:lineRule="auto"/>
        <w:ind w:left="1710" w:right="0" w:firstLine="0"/>
        <w:jc w:val="both"/>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6"/>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of any request by the Commission or any other federal or state governmental authority for amendments or supplements to a Registration Statement or Prospectus or for additional information, </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6"/>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of the issuance by the Commission or any other federal or state governmental authority of any stop order suspending the effectiveness of a Registration Statement covering any or all of the Registrable Securities or the initiation of any Proceedings for that purpose, </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6"/>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of the receipt by the Company of any notification with respect to the suspension of the qualification or exemption from qualification of any of the Registrable Securities for sale in any jurisdiction, or the initiation or threatening of any Proceeding for such purpose, </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6"/>
        </w:numPr>
        <w:spacing w:before="0" w:after="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of the occurrence of any event or passage of time that makes the financial statements included in a Registration Statement ineligible for inclusion therein or any statement made in a Registration Statement or Prospectus or any document incorporated or deemed to be incorporated therein by reference untrue in any material respect or that requires any revisions to a Registration Statement, Prospectus or other documents so that, in the case of a Registration Statement or the Prospectus, as the case may be, it will not contain any untrue statement of a material fact or omit to state any material fact required to be stated therein or necessary to make the statements therein  (in the case of the Prospectus, in light of the circumstances under which they were made) not misleading, and </w:t>
      </w:r>
    </w:p>
    <w:p w:rsidR="00A77B3E">
      <w:pPr>
        <w:keepNext w:val="0"/>
        <w:keepLines w:val="0"/>
        <w:pageBreakBefore w:val="0"/>
        <w:widowControl/>
        <w:numPr>
          <w:ilvl w:val="0"/>
          <w:numId w:val="0"/>
        </w:numPr>
        <w:spacing w:before="0" w:after="0" w:line="288" w:lineRule="auto"/>
        <w:ind w:left="720" w:right="0" w:firstLine="0"/>
        <w:jc w:val="left"/>
        <w:outlineLvl w:val="9"/>
        <w:rPr>
          <w:rFonts w:ascii="Times New Roman" w:eastAsia="Times New Roman" w:hAnsi="Times New Roman" w:cs="Times New Roman"/>
          <w:b w:val="0"/>
          <w:i w:val="0"/>
          <w:color w:val="000000"/>
          <w:sz w:val="20"/>
          <w:u w:val="none"/>
        </w:rPr>
      </w:pPr>
    </w:p>
    <w:p>
      <w:pPr>
        <w:pStyle w:val="ListParagraph-wk"/>
        <w:keepNext w:val="0"/>
        <w:keepLines w:val="0"/>
        <w:pageBreakBefore w:val="0"/>
        <w:widowControl/>
        <w:numPr>
          <w:ilvl w:val="0"/>
          <w:numId w:val="16"/>
        </w:numPr>
        <w:spacing w:before="0" w:after="240" w:line="288" w:lineRule="auto"/>
        <w:ind w:left="1440" w:right="0" w:firstLine="27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of the occurrence or existence of any pending corporate development with respect to the Company that the Company believes may be material and that, in the determination of the Company, makes it not in the best interest of the Company to allow continued availability of a Registration Statement or Prospectus; </w:t>
      </w:r>
      <w:r>
        <w:rPr>
          <w:rFonts w:ascii="Times New Roman" w:eastAsia="Times New Roman" w:hAnsi="Times New Roman" w:cs="Times New Roman"/>
          <w:b w:val="0"/>
          <w:i w:val="0"/>
          <w:color w:val="000000"/>
          <w:sz w:val="20"/>
          <w:u w:val="single"/>
        </w:rPr>
        <w:t>provided</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single"/>
        </w:rPr>
        <w:t>however</w:t>
      </w:r>
      <w:r>
        <w:rPr>
          <w:rFonts w:ascii="Times New Roman" w:eastAsia="Times New Roman" w:hAnsi="Times New Roman" w:cs="Times New Roman"/>
          <w:b w:val="0"/>
          <w:i w:val="0"/>
          <w:color w:val="000000"/>
          <w:sz w:val="20"/>
          <w:u w:val="none"/>
        </w:rPr>
        <w:t>, that in no event shall any such notice contain any information which would constitute material, non-public information regarding the Company or any of its Subsidiaries.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 Use its commercially reasonable efforts to avoid the issuance of, or, if issued, obtain the withdrawal of (i) any order stopping or suspending the effectiveness of a Registration Statement, or (ii) any suspension of the qualification (or exemption from qualification) of any of the Registrable Securities for sale in any jurisdiction, at the earliest reasonably practicable moment.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 Furnish to each Holder, at such Holder’s written request, without charge, at least one conformed copy of each such Registration Statement and each amendment thereto, including financial statements and schedules, all documents incorporated or deemed to be incorporated therein by reference to the extent requested by such Person, and all exhibits to the extent requested by such Person (including those previously furnished or incorporated by reference) promptly after the filing of such documents with the Commission, provided that any such item which is available on the EDGAR system (or successor thereto) need not be furnished.</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(g) Subject to the terms of this Agreement (including Section 3(j)), consent to the use of such Prospectus and each amendment or supplement thereto by each of the selling Holders in connection with the offering and sale of the Registrable Securities covered by such Prospectus and any amendment or supplement thereto, except after the giving of any notice pursuant to Section 3(d) or following any suspension pursuant to Section 2(d)(iii) and 2(f).</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(h) Prior to any resale of Registrable Securities by a Holder, use its commercially reasonable efforts to register or qualify or cooperate with the selling Holders in connection with the registration or qualification (or exemption from the registration or qualification) of such Registrable Securities for the resale by the Holder under the securities or Blue Sky laws of such jurisdictions within the United States as any Holder reasonably requests in writing, to keep each registration or qualification (or exemption therefrom) effective during the Effectiveness Period and to do any and all other acts or things reasonably necessary to enable the disposition in such jurisdictions of the Registrable Securities covered by each Registration Statement, provided that the Company shall not be required to qualify generally to do business in any jurisdiction where it is not then so qualified, subject the Company to any material tax in any such jurisdiction where it is not then so subject or file a general consent to service of process in any such jurisdiction.</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If requested by a Holder, cooperate with such Holder to facilitate the timely preparation and delivery of certificates, or book-entry notification, as applicable, representing Registrable Securities to be delivered to a transferee pursuant to a Registration Statement, which certificates or book-entry notification shall be free, to the extent permitted by the Purchase Agreement, of all restrictive legends, and to enable such Registrable Securities to be in such denominations and registered in such names as any such Holder may request.</w:t>
      </w: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(j) Upon the occurrence of any event contemplated by Section 3(d), if required to do so, as promptly as reasonably possible, as determined by the Company under the circumstances taking into account the Company’s good faith assessment of any adverse consequences to the Company and its stockholders of the premature disclosure of such event, prepare a supplement or amendment, including a post-effective amendment, to a Registration Statement or a supplement to the related Prospectus or any document incorporated or deemed to be incorporated therein by reference, and file any other required document so that, as thereafter delivered, neither a Registration Statement nor such Prospectus will contain an untrue statement of a material fact or omit to state a material fact required to be stated therein or necessary to make the statements therein, in light of the circumstances under which they were made, not misleading. If the Company notifies the Holders in accordance with clauses (iii) through (vi) of Section 3(d) above to suspend the use of any Prospectus until the requisite changes to such Prospectus have been made, then the Holders shall so suspend use of such Prospectus. The Company shall be entitled to exercise its right under this Section 3(j) to suspend the availability of a Registration Statement and Prospectus without payment of partial liquidated damages otherwise required pursuant to Section 2(d) for periods not to exceed an aggregate of 60 calendar days (which need not be consecutive days) in any 12-month period (“</w:t>
      </w:r>
      <w:r>
        <w:rPr>
          <w:rFonts w:ascii="Times New Roman" w:eastAsia="Times New Roman" w:hAnsi="Times New Roman" w:cs="Times New Roman"/>
          <w:b w:val="0"/>
          <w:i w:val="0"/>
          <w:color w:val="000000"/>
          <w:sz w:val="20"/>
          <w:u w:val="single"/>
        </w:rPr>
        <w:t>Permitted Suspension Periods</w:t>
      </w:r>
      <w:r>
        <w:rPr>
          <w:rFonts w:ascii="Times New Roman" w:eastAsia="Times New Roman" w:hAnsi="Times New Roman" w:cs="Times New Roman"/>
          <w:b w:val="0"/>
          <w:i w:val="0"/>
          <w:sz w:val="20"/>
        </w:rPr>
        <w:t>”). The Company shall use commercially reasonable efforts to minimize the duration and frequency of any such suspension, and shall not exercise its right to suspend sales for the purpose of limiting or restricting any Holder’s ability to sell Registrable Securities for competitive or other non-disclosure-related reasons.</w:t>
      </w:r>
    </w:p>
    <w:p w:rsidR="00A77B3E">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(k) Otherwise use commercially reasonable efforts to comply with all applicable rules and regulations of the Commission under the Securities Act and the Exchange Act, including, without limitation, Rule 172 under the Securities Act, file any final Prospectus, including any supplement or amendment thereof, with the Commission pursuant to Rule 424 under the Securities Act, promptly inform the Holders in writing if, at any time during the Effectiveness Period, the Company does not satisfy the conditions specified in Rule 172 and, as a result thereof, the Holders are required to deliver a Prospectus in connection with any disposition of Registrable Securities and take such other actions as may be reasonably necessary to facilitate the registration of the Registrable Securities hereunder.</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(l) Use its commercially reasonable efforts to obtain and thereafter maintain eligibility for use of Form S-3 (or any successor form thereto) for the registration of the resale of the Registrable Securities.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(m) The Company may require each selling Holder to furnish to the Company a certified statement as to the number of shares of Common Stock beneficially owned by such Holder and, if required by the Commission, the natural persons thereof that have voting and dispositive control over the shares. During any periods that the Company is unable to meet its obligations hereunder with respect to the registration of the Registrable Securities solely because any Holder fails to furnish such information within three Trading Days of the Company’s request, any liquidated damages that are accruing at such time as to such Holder only shall be tolled and any Event that may otherwise occur solely because of such delay shall be suspended as to such Holder only, until such information is delivered to the Company.</w:t>
      </w:r>
    </w:p>
    <w:p w:rsidR="00A77B3E">
      <w:pPr>
        <w:keepNext w:val="0"/>
        <w:keepLines w:val="0"/>
        <w:pageBreakBefore w:val="0"/>
        <w:widowControl/>
        <w:numPr>
          <w:ilvl w:val="0"/>
          <w:numId w:val="0"/>
        </w:numPr>
        <w:spacing w:before="240" w:after="240" w:line="288" w:lineRule="auto"/>
        <w:ind w:left="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4. </w:t>
      </w:r>
      <w:r>
        <w:rPr>
          <w:rFonts w:ascii="Times New Roman" w:eastAsia="Times New Roman" w:hAnsi="Times New Roman" w:cs="Times New Roman"/>
          <w:b w:val="0"/>
          <w:i w:val="0"/>
          <w:color w:val="000000"/>
          <w:sz w:val="20"/>
          <w:u w:val="single"/>
        </w:rPr>
        <w:t>Registration Expenses</w:t>
      </w:r>
      <w:r>
        <w:rPr>
          <w:rFonts w:ascii="Times New Roman" w:eastAsia="Times New Roman" w:hAnsi="Times New Roman" w:cs="Times New Roman"/>
          <w:b w:val="0"/>
          <w:i w:val="0"/>
          <w:sz w:val="20"/>
        </w:rPr>
        <w:t>. All fees and expenses incident to the performance of or compliance with this Agreement by the Company shall be borne by the Company whether or not any Registrable Securities are sold pursuant to a Registration Statement. The fees and expenses referred to in the foregoing sentence shall include, without limitation, (i) all registration and filing fees (including, without limitation, fees and expenses of the Company’s counsel and independent registered public accountants) (A) with respect to filings made with the Commission, (B) with respect to filings required to be made with any Trading Market on which the shares of Common Stock are then listed for trading, and (C) in compliance with applicable state securities or Blue Sky laws reasonably agreed to by the Company in writing (including fees and disbursements of counsel for the Company in connection with Blue Sky qualifications or exemptions of the Registrable Securities), (ii) printing expenses (including expenses of printing certificates for Registrable Securities), (iii) messenger, telephone and delivery expenses, (iv) fees and disbursements of counsel for the Company, (v) Securities Act liability insurance, if the Company so desires such insurance, and (vi) fees and expenses of all other Persons retained by the Company in connection with the consummation of the transactions contemplated by this Agreement. In addition, the Company shall be responsible for all of its internal expenses incurred in connection with the consummation of the transactions contemplated by this Agreement (including all salaries and expenses of its officers and employees performing legal or accounting duties), the expense of any annual audit and the fees and expenses incurred in connection with the listing of the Registrable Securities on any securities exchange as required hereunder. In no event shall the Company be responsible for any broker, underwriting or similar commissions of any Holder, transfer taxes applicable to the sale of Registrable Securities or, except to the extent expressly provided for in the Transaction Documents, any legal fees or other costs of the Holders.</w:t>
      </w:r>
    </w:p>
    <w:p w:rsidR="00A77B3E">
      <w:pPr>
        <w:keepNext w:val="0"/>
        <w:keepLines w:val="0"/>
        <w:pageBreakBefore w:val="0"/>
        <w:widowControl/>
        <w:numPr>
          <w:ilvl w:val="0"/>
          <w:numId w:val="0"/>
        </w:numPr>
        <w:spacing w:before="0" w:after="240" w:line="288" w:lineRule="auto"/>
        <w:ind w:left="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5. </w:t>
      </w:r>
      <w:r>
        <w:rPr>
          <w:rFonts w:ascii="Times New Roman" w:eastAsia="Times New Roman" w:hAnsi="Times New Roman" w:cs="Times New Roman"/>
          <w:b w:val="0"/>
          <w:i w:val="0"/>
          <w:color w:val="000000"/>
          <w:sz w:val="20"/>
          <w:u w:val="single"/>
        </w:rPr>
        <w:t>Indemnification</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(a) </w:t>
      </w:r>
      <w:r>
        <w:rPr>
          <w:rFonts w:ascii="Times New Roman" w:eastAsia="Times New Roman" w:hAnsi="Times New Roman" w:cs="Times New Roman"/>
          <w:b w:val="0"/>
          <w:i w:val="0"/>
          <w:color w:val="000000"/>
          <w:sz w:val="20"/>
          <w:u w:val="single"/>
        </w:rPr>
        <w:t>Indemnification by the Company</w:t>
      </w:r>
      <w:r>
        <w:rPr>
          <w:rFonts w:ascii="Times New Roman" w:eastAsia="Times New Roman" w:hAnsi="Times New Roman" w:cs="Times New Roman"/>
          <w:b w:val="0"/>
          <w:i w:val="0"/>
          <w:sz w:val="20"/>
        </w:rPr>
        <w:t>. The Company shall, notwithstanding any termination of this Agreement, indemnify and hold harmless each Holder, the officers, directors, members, partners, agents, brokers (including brokers who offer and sell Registrable Securities as principal as a result of a pledge or any failure to perform under a margin call of shares of Common Stock), investment advisors and employees (and any other Persons with a functionally equivalent role of a Person holding such titles, notwithstanding a lack of such title or any other title) of each of them, each Person who controls any such Holder (within the meaning of Section 15 of the Securities Act or Section 20 of the Exchange Act) and the officers, directors, members, shareholders, partners, agents and employees (and any other Persons with a functionally equivalent role of a Person holding such titles, notwithstanding a lack of such title or any other title) of each such controlling Person, to the fullest extent permitted by applicable law, from and against any and all losses, claims, damages, liabilities, costs (including, without limitation, reasonable and documented attorneys’ fees) and expenses (collectively, “</w:t>
      </w:r>
      <w:r>
        <w:rPr>
          <w:rFonts w:ascii="Times New Roman" w:eastAsia="Times New Roman" w:hAnsi="Times New Roman" w:cs="Times New Roman"/>
          <w:b w:val="0"/>
          <w:i w:val="0"/>
          <w:color w:val="000000"/>
          <w:sz w:val="20"/>
          <w:u w:val="single"/>
        </w:rPr>
        <w:t>Losses</w:t>
      </w:r>
      <w:r>
        <w:rPr>
          <w:rFonts w:ascii="Times New Roman" w:eastAsia="Times New Roman" w:hAnsi="Times New Roman" w:cs="Times New Roman"/>
          <w:b w:val="0"/>
          <w:i w:val="0"/>
          <w:sz w:val="20"/>
        </w:rPr>
        <w:t xml:space="preserve">”), as incurred, arising out of or relating to (1) any untrue or alleged untrue statement of a material fact contained in a Registration Statement, any Prospectus or any form of prospectus or in any amendment or supplement thereto or in any preliminary prospectus, or arising out of or relating to any omission or alleged omission of a material fact required to be stated therein or necessary to make the statements therein (in the case of any Prospectus or supplement thereto, in light of the circumstances under which they were made) not misleading or (2) any violation or alleged violation by the Company of the Securities Act, the Exchange Act or any state securities law, or any rule or regulation thereunder, in connection with the performance of its obligations under this Agreement, except to the extent, but only to the extent, that (i) such untrue statements or omissions or violations are based solely upon information regarding such Holder furnished in writing to the Company by any Holder expressly for use therein, or to the extent that such information relates to any Holder or any Holder’s proposed method of distribution of Registrable Securities and was reviewed and expressly approved in writing by such Holder expressly for use in a Registration Statement, such Prospectus or in any amendment or supplement thereto (it being understood that each Holder has approved </w:t>
      </w:r>
      <w:r>
        <w:rPr>
          <w:rFonts w:ascii="Times New Roman" w:eastAsia="Times New Roman" w:hAnsi="Times New Roman" w:cs="Times New Roman"/>
          <w:b w:val="0"/>
          <w:i w:val="0"/>
          <w:color w:val="000000"/>
          <w:sz w:val="20"/>
          <w:u w:val="single"/>
        </w:rPr>
        <w:t>Annex A</w:t>
      </w:r>
      <w:r>
        <w:rPr>
          <w:rFonts w:ascii="Times New Roman" w:eastAsia="Times New Roman" w:hAnsi="Times New Roman" w:cs="Times New Roman"/>
          <w:b w:val="0"/>
          <w:i w:val="0"/>
          <w:sz w:val="20"/>
        </w:rPr>
        <w:t xml:space="preserve"> hereto for this purpose) or (ii) in the case of an occurrence of an event of the type specified in Section 3(d)(iii)-(vi), the use by such Holder of an outdated, defective or otherwise unavailable Prospectus after the Company has notified such Holder in writing that the Prospectus is outdated, defective or otherwise unavailable for use by such Holder and prior to the receipt by such Holder of the Advice contemplated in Section 6(c). The Company shall notify the Holders promptly of the institution, threat or assertion of any Proceeding arising from or in connection with the transactions contemplated by this Agreement of which the Company is aware. Such indemnity shall remain in full force and effect regardless of any investigation made by or on behalf of such indemnified person and shall survive the transfer of any Registrable Securities by any of the Holders in accordance with Section 6(f).</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(b) </w:t>
      </w:r>
      <w:r>
        <w:rPr>
          <w:rFonts w:ascii="Times New Roman" w:eastAsia="Times New Roman" w:hAnsi="Times New Roman" w:cs="Times New Roman"/>
          <w:b w:val="0"/>
          <w:i w:val="0"/>
          <w:color w:val="000000"/>
          <w:sz w:val="20"/>
          <w:u w:val="single"/>
        </w:rPr>
        <w:t>Indemnification by Holders</w:t>
      </w:r>
      <w:r>
        <w:rPr>
          <w:rFonts w:ascii="Times New Roman" w:eastAsia="Times New Roman" w:hAnsi="Times New Roman" w:cs="Times New Roman"/>
          <w:b w:val="0"/>
          <w:i w:val="0"/>
          <w:sz w:val="20"/>
        </w:rPr>
        <w:t xml:space="preserve">. Each Holder shall, severally and not jointly, indemnify and hold harmless the Company, its directors, officers, agents and employees, each Person who controls the Company (within the meaning of Section 15 of the Securities Act and Section 20 of the Exchange Act), and the directors, officers, agents or employees of such controlling Persons (and any other Persons with a functionally equivalent role of a Person holding such titles, notwithstanding a lack of such title or any other title), to the fullest extent permitted by applicable law, from and against all Losses, as incurred, to the extent arising out of or based solely upon: any untrue or alleged untrue statement of a material fact contained in any Registration Statement, any Prospectus, or in any amendment or supplement thereto or in any preliminary prospectus, or arising out of or relating to any omission or alleged omission of a material fact required to be stated therein or necessary to make the statements therein (in the case of any Prospectus or supplement thereto, in light of the circumstances under which they were made) not misleading (i) to the extent, but only to the extent, that such untrue statement or omission is contained in any information so furnished in writing by such Holder to the Company expressly for inclusion in such Registration Statement or such Prospectus or (ii) to the extent, but only to the extent, that such information relates to such Holder’s information provided in the Selling Stockholder Questionnaire or the proposed method of distribution of Registrable Securities and was reviewed and expressly approved in writing by such Holder expressly for use in a Registration Statement (it being understood that each Holder has approved </w:t>
      </w:r>
      <w:r>
        <w:rPr>
          <w:rFonts w:ascii="Times New Roman" w:eastAsia="Times New Roman" w:hAnsi="Times New Roman" w:cs="Times New Roman"/>
          <w:b w:val="0"/>
          <w:i w:val="0"/>
          <w:color w:val="000000"/>
          <w:sz w:val="20"/>
          <w:u w:val="single"/>
        </w:rPr>
        <w:t>Annex A</w:t>
      </w:r>
      <w:r>
        <w:rPr>
          <w:rFonts w:ascii="Times New Roman" w:eastAsia="Times New Roman" w:hAnsi="Times New Roman" w:cs="Times New Roman"/>
          <w:b w:val="0"/>
          <w:i w:val="0"/>
          <w:sz w:val="20"/>
        </w:rPr>
        <w:t xml:space="preserve"> hereto for this purpose), such Prospectus or in any amendment or supplement thereto. In no event shall the liability of a selling Holder be greater in amount than the dollar amount of the proceeds (net of all expenses paid by such Holder in connection with any claim relating to this Section 5 and the amount of any damages such Holder has otherwise been required to pay by reason of such untrue statement or omission) received by such Holder upon the sale of the Registrable Securities included in the Registration Statement giving rise to such indemnification obligation.</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(c) </w:t>
      </w:r>
      <w:r>
        <w:rPr>
          <w:rFonts w:ascii="Times New Roman" w:eastAsia="Times New Roman" w:hAnsi="Times New Roman" w:cs="Times New Roman"/>
          <w:b w:val="0"/>
          <w:i w:val="0"/>
          <w:color w:val="000000"/>
          <w:sz w:val="20"/>
          <w:u w:val="single"/>
        </w:rPr>
        <w:t>Conduct of Indemnification Proceedings</w:t>
      </w:r>
      <w:r>
        <w:rPr>
          <w:rFonts w:ascii="Times New Roman" w:eastAsia="Times New Roman" w:hAnsi="Times New Roman" w:cs="Times New Roman"/>
          <w:b w:val="0"/>
          <w:i w:val="0"/>
          <w:sz w:val="20"/>
        </w:rPr>
        <w:t>. If any Proceeding shall be brought or asserted against any Person entitled to indemnity hereunder (an “</w:t>
      </w:r>
      <w:r>
        <w:rPr>
          <w:rFonts w:ascii="Times New Roman" w:eastAsia="Times New Roman" w:hAnsi="Times New Roman" w:cs="Times New Roman"/>
          <w:b w:val="0"/>
          <w:i w:val="0"/>
          <w:color w:val="000000"/>
          <w:sz w:val="20"/>
          <w:u w:val="single"/>
        </w:rPr>
        <w:t>Indemnified Party</w:t>
      </w:r>
      <w:r>
        <w:rPr>
          <w:rFonts w:ascii="Times New Roman" w:eastAsia="Times New Roman" w:hAnsi="Times New Roman" w:cs="Times New Roman"/>
          <w:b w:val="0"/>
          <w:i w:val="0"/>
          <w:sz w:val="20"/>
        </w:rPr>
        <w:t>”), such Indemnified Party shall promptly notify the Person from whom indemnity is sought (the “</w:t>
      </w:r>
      <w:r>
        <w:rPr>
          <w:rFonts w:ascii="Times New Roman" w:eastAsia="Times New Roman" w:hAnsi="Times New Roman" w:cs="Times New Roman"/>
          <w:b w:val="0"/>
          <w:i w:val="0"/>
          <w:color w:val="000000"/>
          <w:sz w:val="20"/>
          <w:u w:val="single"/>
        </w:rPr>
        <w:t>Indemnifying Party</w:t>
      </w:r>
      <w:r>
        <w:rPr>
          <w:rFonts w:ascii="Times New Roman" w:eastAsia="Times New Roman" w:hAnsi="Times New Roman" w:cs="Times New Roman"/>
          <w:b w:val="0"/>
          <w:i w:val="0"/>
          <w:sz w:val="20"/>
        </w:rPr>
        <w:t>”) in writing, and the Indemnifying Party shall have the right to assume the defense thereof, including the employment of counsel reasonably satisfactory to the Indemnified Party and the payment of all fees and expenses incurred in connection with defense thereof; provided that the failure of any Indemnified Party to give such notice shall not relieve the Indemnifying Party of its obligations or liabilities pursuant to this Agreement, except (and only) to the extent that it shall be finally determined by a court of competent jurisdiction (which determination is not subject to appeal or further review) that such failure shall have materially and adversely prejudiced the Indemnifying Party. The Indemnified Party shall provide the Indemnifying Party with regular and timely progress updates with respect to any Proceedings.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An Indemnified Party shall have the right to employ separate counsel in any such Proceeding and to participate in the defense thereof, but the fees and expenses of such counsel shall be at the expense of such Indemnified Party or Parties unless: (1) the Indemnifying Party has agreed in writing to pay such fees and expenses, (2) the Indemnifying Party shall have failed promptly to assume the defense of such Proceeding and to employ counsel reasonably satisfactory to such Indemnified Party in any such Proceeding, or (3) the named parties to any such Proceeding (including any impleaded parties) include both such Indemnified Party and the Indemnifying Party, and counsel to the Indemnified Party shall reasonably believe that a material conflict of interest is likely to exist if the same counsel were to represent such Indemnified Party and the Indemnifying Party (in which case, if such Indemnified Party notifies the Indemnifying Party in writing that it elects to employ separate counsel at the expense of the Indemnifying Party, the Indemnifying Party shall not have the right to assume the defense thereof and the reasonable fees and expenses of no more than one separate counsel for all Indemnified Parties shall be at the expense of the Indemnifying Party). The Indemnifying Party shall not be liable for any settlement of any such Proceeding effected without its written consent, which consent shall not be unreasonably withheld or delayed. No Indemnifying Party shall, without the prior written consent of the Indemnified Party, effect any settlement of any pending Proceeding in respect of which any Indemnified Party is a party, unless such settlement includes an unconditional release of such Indemnified Party from all liability on claims that are the subject matter of such Proceeding.</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Subject to the terms of this Agreement, all reasonable fees and expenses of the Indemnified Party (including reasonable fees and expenses to the extent incurred in connection with investigating or preparing to defend such Proceeding in a manner not inconsistent with this Section) shall be paid to the Indemnified Party, as incurred, within ten Trading Days of written notice thereof to the Indemnifying Party; provided that the Indemnified Party shall promptly reimburse the Indemnifying Party for that portion of such fees and expenses applicable to such actions for which such Indemnified Party is finally determined by a court of competent jurisdiction (which determination is not subject to appeal or further review) not to be entitled to indemnification hereunder.</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 </w:t>
      </w:r>
      <w:r>
        <w:rPr>
          <w:rFonts w:ascii="Times New Roman" w:eastAsia="Times New Roman" w:hAnsi="Times New Roman" w:cs="Times New Roman"/>
          <w:b w:val="0"/>
          <w:i w:val="0"/>
          <w:color w:val="000000"/>
          <w:sz w:val="20"/>
          <w:u w:val="single"/>
        </w:rPr>
        <w:t>Contribution</w:t>
      </w:r>
      <w:r>
        <w:rPr>
          <w:rFonts w:ascii="Times New Roman" w:eastAsia="Times New Roman" w:hAnsi="Times New Roman" w:cs="Times New Roman"/>
          <w:b w:val="0"/>
          <w:i w:val="0"/>
          <w:sz w:val="20"/>
        </w:rPr>
        <w:t>. If the indemnification under Section 5(a) or 5(b) is unavailable to an Indemnified Party or insufficient to hold an Indemnified Party harmless for any Losses, then each Indemnifying Party, severally and not jointly with the other Indemnifying Parties, shall contribute to the amount paid or payable by such Indemnified Party, in such proportion as is appropriate to reflect the relative fault of the Indemnifying Party and Indemnified Party in connection with the actions, statements or omissions that resulted in such Losses as well as any other relevant equitable considerations. The relative fault of such Indemnifying Party and Indemnified Party shall be determined by reference to, among other things, whether any action in question, including any untrue or alleged untrue statement of a material fact or omission or alleged omission of a material fact, has been taken or made by, or relates to information supplied by, such Indemnifying Party or Indemnified Party, and the parties’ relative intent, knowledge, access to information and opportunity to correct or prevent such action, statement or omission. The amount paid or payable by a party as a result of any Losses shall be deemed to include, subject to the limitations set forth in this Agreement, any reasonable and documented attorneys’ or other fees or expenses incurred by such party in connection with any Proceeding to the extent such party would have been indemnified for such fees or expenses if the indemnification provided for in this Section was available to such party in accordance with its terms.</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parties hereto agree that it would not be just and equitable if contribution pursuant to this Section 5(d) were determined by pro rata allocation or by any other method of allocation that does not take into account the equitable considerations referred to in the immediately preceding paragraph. In no event shall the contribution obligation of a Holder of Registrable Securities be greater in amount than the dollar amount of the proceeds (net of all expenses paid by such Holder in connection with any claim relating to this Section 5 and the amount of any damages such Holder has otherwise been required to pay by reason of such untrue or alleged untrue statement or omission or alleged omission) received by it upon the sale of the Registrable Securities giving rise to such contribution obligation.</w:t>
      </w:r>
    </w:p>
    <w:p w:rsidR="00A77B3E">
      <w:pPr>
        <w:keepNext w:val="0"/>
        <w:keepLines w:val="0"/>
        <w:pageBreakBefore w:val="0"/>
        <w:widowControl/>
        <w:numPr>
          <w:ilvl w:val="0"/>
          <w:numId w:val="0"/>
        </w:numPr>
        <w:spacing w:before="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indemnity and contribution agreements contained in this Section are in addition to any liability that the Indemnifying Parties may otherwise have to the Indemnified Parties.</w:t>
      </w:r>
    </w:p>
    <w:p w:rsidR="00A77B3E">
      <w:pPr>
        <w:keepNext w:val="0"/>
        <w:keepLines w:val="0"/>
        <w:pageBreakBefore w:val="0"/>
        <w:widowControl/>
        <w:numPr>
          <w:ilvl w:val="0"/>
          <w:numId w:val="0"/>
        </w:numPr>
        <w:spacing w:before="0" w:after="240" w:line="288" w:lineRule="auto"/>
        <w:ind w:left="0" w:right="0" w:firstLine="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6. </w:t>
      </w:r>
      <w:r>
        <w:rPr>
          <w:rFonts w:ascii="Times New Roman" w:eastAsia="Times New Roman" w:hAnsi="Times New Roman" w:cs="Times New Roman"/>
          <w:b w:val="0"/>
          <w:i w:val="0"/>
          <w:color w:val="000000"/>
          <w:sz w:val="20"/>
          <w:u w:val="single"/>
        </w:rPr>
        <w:t>Miscellaneous</w:t>
      </w: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 Remedies. The failure of any party to exercise any right or remedy under this Agreement or otherwise, or delay by a party to exercise such right or remedy, shall not operate as a waiver thereof. In the event of a breach by the Company or by a Holder of any of its obligations under this Agreement, each Holder or the Company, as the case may be, in addition to being entitled to exercise all rights granted by law and under this Agreement, including recovery of damages, shall be entitled to specific performance of its rights under this Agreement. Each of the Company and each Holder agrees that monetary damages would not provide adequate compensation for any losses incurred by reason of a breach by it of any of the provisions of this Agreement and hereby further agrees that, in the event of any action for specific performance in respect of such breach, it shall not assert or shall waive the defense that a remedy at law would be adequate.</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 No Piggyback on Registrations; Prohibition on Filing Other Registration Statements. Except with the consent of the majority of the Holders of Registrable Securities, neither the Company nor any of its security holders (other than the Holders in such capacity pursuant hereto) may include securities of the Company in any Registration Statements other than the Registrable Securities. The Company shall not file any other registration statements, other than with respect to an Exempt Issuance (as defined in the Purchase Agreement), until the earlier of the date that all Registrable Securities are (i) registered pursuant to a Registration Statement that is declared effective by the Commission or (ii) eligible for resale by non-affiliates without volume or manner of sale restrictions under Rule 144; provided that this Section 6(b) shall not prohibit the Company from filing amendments to registration statements filed prior to the date of this Agreement or prospectus supplements relating to any offering of securities of the Company pursuant to any registration statement filed by the Company prior to the date of this Agreement, so long as no new securities are registered on any such existing registration statements.</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 Discontinued Disposition. By its acquisition of Registrable Securities, each Holder agrees that, upon receipt of a notice from the Company of the occurrence of any event of the kind described in Section 3(d)(iii) through (vi), such Holder will forthwith discontinue disposition of such Registrable Securities under a Registration Statement until it is advised in writing (the “Advice”) by the Company that the use of the applicable Prospectus (as it may have been supplemented or amended) may be resumed. Subject to Section 3(j), the Company will use its commercially reasonable efforts to ensure that the use of the Prospectus may be resumed as promptly as is reasonably practicable, subject to the first sentence of Section 3(j). The Company agrees and acknowledges that periods during which the Holder is required to discontinue the disposition of the Registrable Securities hereunder shall be subject to the provisions of Section 2(d).</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 Amendments and Waivers. The provisions of this Agreement, including the provisions of this sentence, may not be amended, modified or supplemented, and waivers or consents to departures from the provisions hereof may not be given, unless the same shall be in writing and signed by the Company and the Holders of 50.1% or more of the then outstanding Registrable Securities (for purposes of clarification, this includes any Registrable Securities issuable upon exercise or conversion of any Security); provided that, if any amendment, modification or waiver disproportionately and adversely impacts a Holder (or group of Holders), the consent of such disproportionately impacted Holder (or group of Holders) shall be required. If a Registration Statement does not register all of the Registrable Securities pursuant to a waiver or amendment done in compliance with the previous sentence, then the number of Registrable Securities to be registered for each Holder shall be reduced pro rata among all Holders and each Holder shall have the right to designate which of its Registrable Securities shall be omitted from such Registration Statement. Notwithstanding the foregoing, a waiver or consent to depart from the provisions hereof with respect to a matter that relates exclusively to the rights of a Holder or some Holders and that does not directly or indirectly affect the rights of other Holders may be given only by such Holder or Holders of all of the Registrable Securities to which such waiver or consent relates; provided, however, that the provisions of this sentence may not be amended, modified, or supplemented except in accordance with the provisions of the first sentence of this Section 6(d). No consideration shall be offered or paid to any Person to amend or consent to a waiver or modification of any provision of this Agreement unless the same consideration also is offered to all of the parties to this Agreement who continue to hold any of the Registrable Securities.</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 Notices. Any and all notices or other communications or deliveries required or permitted to be provided hereunder shall be delivered as set forth in the Purchase Agreement.</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 Successors and Assigns. This Agreement shall inure to the benefit of and be binding upon the successors and permitted assigns of each of the parties and shall inure to the benefit of each Holder. The Company may not assign (except by merger) its rights or obligations hereunder without the prior written consent of all of the Holders of the then outstanding Registrable Securities. Each Holder may assign their respective rights hereunder solely in the manner and to the Persons as permitted under Section 5.7 of the Purchase Agreement.</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(g) No Inconsistent Agreements. Neither the Company nor any of its Subsidiaries has entered, as of the date hereof, nor shall the Company or any of its Subsidiaries, on or after the date of this Agreement, enter into any agreement with respect to its securities, that would have the effect of impairing the rights granted to the Holders in this Agreement or otherwise conflicts with the provisions hereof. Except as set forth in the SEC Reports, neither the Company nor any of its Subsidiaries has previously entered into any agreement granting any registration rights with respect to any of its securities to any Person that have not been satisfied in full.</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(h) Execution and Counterparts. This Agreement may be executed in two or more counterparts, all of which when taken together shall be considered one and the same agreement and shall become effective when counterparts have been signed by each party and delivered to the other parties, it being understood that the parties need not sign the same counterpart. In the event that any signature is delivered by facsimile transmission or by e-mail delivery of a “.pdf” format data file or any electronic signature complying with the U.S. federal ESIGN Act of 2000 (e.g., www.docusign.com), such signature shall create a valid and binding obligation of the party executing (or on whose behalf such signature is executed) with the same force and effect as if such facsimile or “.pdf” signature page were an original thereof.</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Governing Law. All questions concerning the construction, validity, enforcement and interpretation of this Agreement, and all matters arising hereunder and in connection herewith, shall be determined in accordance with Sections 5.9 and 5.21 of the Purchase Agreement.</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(j) Cumulative Remedies. The remedies provided herein are cumulative and not exclusive of any other remedies provided by law.</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(k) Severability. If any term, provision, covenant or restriction of this Agreement is held by a court of competent jurisdiction to be invalid, illegal, void or unenforceable, the remainder of the terms, provisions, covenants and restrictions set forth herein shall remain in full force and effect and shall in no way be affected, impaired or invalidated, and the parties hereto shall use their commercially reasonable efforts to find and employ an alternative means to achieve the same or substantially the same result as that contemplated by such term, provision, covenant or restriction. It is hereby stipulated and declared to be the intention of the parties that they would have executed the remaining terms, provisions, covenants and restrictions without including any of such that may be hereafter declared invalid, illegal, void or unenforceable.</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(l) Headings. The headings in this Agreement are for convenience only, do not constitute a part of the Agreement and shall not be deemed to limit or affect any of the provisions hereof.</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(m) Interpretation. When a reference is made in this Agreement to a Section, such reference shall be to a Section of this Agreement unless otherwise indicated. Whenever the words “include,” “includes” or “including” are used in this Agreement, they shall be deemed to be followed by the words “without limitation.” The words “hereof,” “herein” and “hereunder” and words of similar import when used in this Agreement shall refer to this Agreement as a whole and not to any particular provision of this Agreement unless the context requires otherwise. The words “date hereof’ when used in this Agreement shall refer to the date of this Agreement. The terms “or,” “any” and “either” are not exclusive. The word “extent” in the phrase “to the extent” shall mean the degree to which a subject or other thing extends, and such phrase shall not mean simply “if.” The word “will” shall be construed to have the same meaning and effect as the word “shall.” All terms defined in this Agreement shall have the defined meanings when used in any document made or delivered pursuant hereto unless otherwise defined therein. The definitions contained in this Agreement are applicable to the singular as well as the plural forms of such terms and to the masculine as well as to the feminine and neuter genders of such term. Any agreement, instrument or statute defined or referred to herein or in any agreement or instrument that is referred to herein means such agreement, instrument or statute as from time to time amended, modified or supplemented, including (in the case of agreements or instruments) by waiver or consent and (in the case of statutes) by succession of comparable successor statutes and references to all attachments thereto and instruments incorporated therein. Unless otherwise specifically indicated, all references to “dollars” or “$” shall refer to, and all payments hereunder shall be made in, the lawful money of the United States. References to a Person are also to its successors and permitted assigns. When calculating the period of time between which, within which or following which any act is to be done or step taken pursuant to this Agreement, the date that is the reference date in calculating such period shall be excluded (and, unless otherwise required by law, if the last day of such period is not a Trading Day, the period in question shall end on the next succeeding Trading Day).</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w:t>
      </w:r>
      <w:r>
        <w:rPr>
          <w:rFonts w:ascii="Times New Roman" w:eastAsia="Times New Roman" w:hAnsi="Times New Roman" w:cs="Times New Roman"/>
          <w:b w:val="0"/>
          <w:i w:val="0"/>
          <w:sz w:val="20"/>
        </w:rPr>
        <w:tab/>
      </w:r>
      <w:r>
        <w:rPr>
          <w:rFonts w:ascii="Times New Roman" w:eastAsia="Times New Roman" w:hAnsi="Times New Roman" w:cs="Times New Roman"/>
          <w:b w:val="0"/>
          <w:i w:val="0"/>
          <w:sz w:val="20"/>
        </w:rPr>
        <w:t>Independent Nature of Holders’ Obligations and Rights. The obligations of each Holder hereunder are several and not joint with the obligations of any other Holder hereunder, and no Holder shall be responsible in any way for the performance of the obligations of any other Holder hereunder. Nothing contained herein or in any other agreement or document delivered at any closing, and no action taken by any Holder pursuant hereto or thereto, shall be deemed to constitute the Holders as a partnership, an association, a joint venture or any other kind of group or entity, or create a presumption that the Holders are in any way acting in concert or as a group or entity with respect to such obligations or the transactions contemplated by this Agreement, and the Company acknowledges that the Holders are not acting in concert or as a group in connection with the transactions contemplated by this Agreement, and the Company shall not assert any such claim, with respect to such obligations or transactions. Each Holder shall be entitled to protect and enforce its rights, including without limitation the rights arising out of this Agreement, and it shall not be necessary for any other Holder to be joined as an additional party in any proceeding for such purpose. It is expressly understood and agreed that each provision contained in this Agreement is between the Company and a Holder, solely, and not between the Company and the Holders collectively and not between and among Holders.</w:t>
      </w:r>
    </w:p>
    <w:p w:rsidR="00A77B3E">
      <w:pPr>
        <w:keepNext w:val="0"/>
        <w:keepLines w:val="0"/>
        <w:pageBreakBefore w:val="0"/>
        <w:widowControl/>
        <w:numPr>
          <w:ilvl w:val="0"/>
          <w:numId w:val="0"/>
        </w:numPr>
        <w:spacing w:before="240" w:after="240" w:line="288" w:lineRule="auto"/>
        <w:ind w:left="72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(o) Termination. This Agreement shall be effective as of the Closing, and if the Closing has not occurred on or prior to fifth (5th) Trading Day following the date of the Purchase Agreement, unless otherwise mutually agreed, then this Agreement shall be null and void.</w:t>
      </w:r>
    </w:p>
    <w:p w:rsidR="00A77B3E">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p>
    <w:p w:rsidR="00A77B3E">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sz w:val="20"/>
        </w:rPr>
        <w:t xml:space="preserve">(Signature Pages Follow) </w:t>
      </w:r>
    </w:p>
    <w:p w:rsidR="00A77B3E">
      <w:pPr>
        <w:keepNext w:val="0"/>
        <w:keepLines w:val="0"/>
        <w:pageBreakBefore w:val="0"/>
        <w:widowControl/>
        <w:numPr>
          <w:ilvl w:val="0"/>
          <w:numId w:val="0"/>
        </w:numPr>
        <w:spacing w:before="0" w:after="240" w:line="288" w:lineRule="auto"/>
        <w:ind w:left="0" w:right="0" w:firstLine="0"/>
        <w:jc w:val="center"/>
        <w:outlineLvl w:val="9"/>
        <w:sectPr>
          <w:headerReference w:type="default" r:id="rId29"/>
          <w:footerReference w:type="default" r:id="rId30"/>
          <w:type w:val="nextPage"/>
          <w:pgSz w:w="12240" w:h="15840"/>
          <w:pgMar w:top="1440" w:right="1440" w:bottom="1440" w:left="1440" w:header="720" w:footer="720" w:gutter="0"/>
          <w:pgNumType w:start="1"/>
          <w:cols w:space="720"/>
          <w:docGrid w:linePitch="360"/>
        </w:sectPr>
      </w:pPr>
    </w:p>
    <w:p>
      <w:pPr>
        <w:keepNext w:val="0"/>
        <w:keepLines w:val="0"/>
        <w:pageBreakBefore w:val="0"/>
        <w:widowControl/>
        <w:numPr>
          <w:ilvl w:val="0"/>
          <w:numId w:val="0"/>
        </w:numPr>
        <w:spacing w:before="0" w:after="240" w:line="288" w:lineRule="auto"/>
        <w:ind w:left="0" w:right="0" w:firstLine="720"/>
        <w:jc w:val="both"/>
        <w:outlineLvl w:val="0"/>
        <w:rPr>
          <w:rFonts w:ascii="Times New Roman" w:eastAsia="Times New Roman" w:hAnsi="Times New Roman" w:cs="Times New Roman"/>
          <w:b w:val="0"/>
          <w:i w:val="0"/>
          <w:sz w:val="20"/>
        </w:rPr>
      </w:pPr>
      <w:bookmarkStart w:id="13" w:name="Section2"/>
      <w:bookmarkEnd w:id="13"/>
      <w:r>
        <w:rPr>
          <w:rFonts w:ascii="Times New Roman" w:eastAsia="Times New Roman" w:hAnsi="Times New Roman" w:cs="Times New Roman"/>
          <w:b w:val="0"/>
          <w:i w:val="0"/>
          <w:sz w:val="20"/>
        </w:rPr>
        <w:t>IN WITNESS WHEREOF, the parties have executed this Registration Rights Agreement as of the date first written above.</w:t>
      </w:r>
    </w:p>
    <w:p>
      <w:pPr>
        <w:keepNext w:val="0"/>
        <w:keepLines w:val="0"/>
        <w:pageBreakBefore w:val="0"/>
        <w:widowControl/>
        <w:numPr>
          <w:ilvl w:val="0"/>
          <w:numId w:val="0"/>
        </w:numPr>
        <w:spacing w:before="240" w:after="240" w:line="288" w:lineRule="auto"/>
        <w:ind w:left="576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 xml:space="preserve">NN, INC. </w:t>
      </w:r>
    </w:p>
    <w:p>
      <w:pPr>
        <w:keepNext w:val="0"/>
        <w:keepLines w:val="0"/>
        <w:pageBreakBefore w:val="0"/>
        <w:widowControl/>
        <w:numPr>
          <w:ilvl w:val="0"/>
          <w:numId w:val="0"/>
        </w:numPr>
        <w:spacing w:before="240" w:after="240" w:line="288" w:lineRule="auto"/>
        <w:ind w:left="576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288" w:lineRule="auto"/>
        <w:ind w:left="504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By: ________________________</w:t>
      </w:r>
    </w:p>
    <w:p>
      <w:pPr>
        <w:keepNext w:val="0"/>
        <w:keepLines w:val="0"/>
        <w:pageBreakBefore w:val="0"/>
        <w:widowControl/>
        <w:numPr>
          <w:ilvl w:val="0"/>
          <w:numId w:val="0"/>
        </w:numPr>
        <w:spacing w:before="0" w:after="0" w:line="288" w:lineRule="auto"/>
        <w:ind w:left="504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Name:  </w:t>
      </w:r>
    </w:p>
    <w:p>
      <w:pPr>
        <w:keepNext w:val="0"/>
        <w:keepLines w:val="0"/>
        <w:pageBreakBefore w:val="0"/>
        <w:widowControl/>
        <w:numPr>
          <w:ilvl w:val="0"/>
          <w:numId w:val="0"/>
        </w:numPr>
        <w:spacing w:before="0" w:after="0" w:line="288" w:lineRule="auto"/>
        <w:ind w:left="5040" w:right="0" w:firstLine="72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Title: </w:t>
      </w:r>
    </w:p>
    <w:p>
      <w:pPr>
        <w:keepNext w:val="0"/>
        <w:keepLines w:val="0"/>
        <w:pageBreakBefore w:val="0"/>
        <w:widowControl/>
        <w:numPr>
          <w:ilvl w:val="0"/>
          <w:numId w:val="0"/>
        </w:numPr>
        <w:spacing w:before="240" w:after="240" w:line="288" w:lineRule="auto"/>
        <w:ind w:left="576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24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[SIGNATURE PAGE OF HOLDERS TO FOLLOW]</w:t>
      </w:r>
      <w:r>
        <w:rPr>
          <w:rFonts w:ascii="Times New Roman" w:eastAsia="Times New Roman" w:hAnsi="Times New Roman" w:cs="Times New Roman"/>
          <w:b/>
          <w:i w:val="0"/>
          <w:sz w:val="20"/>
        </w:rPr>
        <w:tab/>
      </w:r>
    </w:p>
    <w:p>
      <w:pPr>
        <w:keepNext w:val="0"/>
        <w:keepLines w:val="0"/>
        <w:pageBreakBefore w:val="0"/>
        <w:widowControl/>
        <w:numPr>
          <w:ilvl w:val="0"/>
          <w:numId w:val="0"/>
        </w:numPr>
        <w:spacing w:before="240" w:after="240" w:line="288" w:lineRule="auto"/>
        <w:ind w:left="0" w:right="0" w:firstLine="0"/>
        <w:jc w:val="center"/>
        <w:outlineLvl w:val="9"/>
        <w:sectPr>
          <w:headerReference w:type="default" r:id="rId31"/>
          <w:pgSz w:w="12240" w:h="15840"/>
          <w:pgMar w:top="1440" w:right="1440" w:bottom="1440" w:left="1440" w:header="0" w:footer="720" w:gutter="0"/>
          <w:cols w:space="720"/>
        </w:sectPr>
      </w:pPr>
    </w:p>
    <w:p>
      <w:pPr>
        <w:keepNext w:val="0"/>
        <w:keepLines w:val="0"/>
        <w:pageBreakBefore w:val="0"/>
        <w:widowControl/>
        <w:numPr>
          <w:ilvl w:val="0"/>
          <w:numId w:val="0"/>
        </w:numPr>
        <w:spacing w:before="0" w:after="240" w:line="288" w:lineRule="auto"/>
        <w:ind w:left="0" w:right="0" w:firstLine="0"/>
        <w:jc w:val="center"/>
        <w:outlineLvl w:val="0"/>
        <w:rPr>
          <w:rFonts w:ascii="Times New Roman" w:eastAsia="Times New Roman" w:hAnsi="Times New Roman" w:cs="Times New Roman"/>
          <w:b w:val="0"/>
          <w:i w:val="0"/>
          <w:sz w:val="20"/>
        </w:rPr>
      </w:pPr>
      <w:bookmarkStart w:id="14" w:name="Section3"/>
      <w:bookmarkEnd w:id="14"/>
      <w:r>
        <w:rPr>
          <w:rFonts w:ascii="Times New Roman" w:eastAsia="Times New Roman" w:hAnsi="Times New Roman" w:cs="Times New Roman"/>
          <w:b w:val="0"/>
          <w:i w:val="0"/>
          <w:sz w:val="20"/>
        </w:rPr>
        <w:t>[SIGNATURE PAGE OF HOLDERS TO RRA]</w:t>
      </w:r>
    </w:p>
    <w:p>
      <w:pPr>
        <w:keepNext w:val="0"/>
        <w:keepLines w:val="0"/>
        <w:pageBreakBefore w:val="0"/>
        <w:widowControl/>
        <w:numPr>
          <w:ilvl w:val="0"/>
          <w:numId w:val="0"/>
        </w:numPr>
        <w:spacing w:before="240" w:after="240" w:line="288" w:lineRule="auto"/>
        <w:ind w:left="0" w:right="0" w:firstLine="0"/>
        <w:jc w:val="center"/>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240" w:after="240" w:line="288" w:lineRule="auto"/>
        <w:ind w:left="0" w:right="0" w:firstLine="0"/>
        <w:jc w:val="center"/>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Name of Holder: _________________________</w:t>
      </w: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sz w:val="20"/>
        </w:rPr>
        <w:t>Signature of Authorized Signatory of Holder</w:t>
      </w:r>
      <w:r>
        <w:rPr>
          <w:rFonts w:ascii="Times New Roman" w:eastAsia="Times New Roman" w:hAnsi="Times New Roman" w:cs="Times New Roman"/>
          <w:b w:val="0"/>
          <w:i w:val="0"/>
          <w:sz w:val="20"/>
        </w:rPr>
        <w:t>: __________________________</w:t>
      </w: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Name of Authorized Signatory: _________________________</w:t>
      </w: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Title of Authorized Signatory: __________________________</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[SIGNATURE PAGES CONTINUE]</w:t>
      </w:r>
    </w:p>
    <w:p>
      <w:pPr>
        <w:keepNext w:val="0"/>
        <w:keepLines w:val="0"/>
        <w:pageBreakBefore w:val="0"/>
        <w:widowControl/>
        <w:numPr>
          <w:ilvl w:val="0"/>
          <w:numId w:val="0"/>
        </w:numPr>
        <w:spacing w:before="0" w:after="240" w:line="288" w:lineRule="auto"/>
        <w:ind w:left="0" w:right="0" w:firstLine="0"/>
        <w:jc w:val="center"/>
        <w:outlineLvl w:val="9"/>
        <w:sectPr>
          <w:pgSz w:w="12240" w:h="15840"/>
          <w:pgMar w:top="1440" w:right="1440" w:bottom="1440" w:left="1440" w:header="0" w:footer="720" w:gutter="0"/>
          <w:cols w:space="720"/>
        </w:sectPr>
      </w:pPr>
    </w:p>
    <w:p>
      <w:pPr>
        <w:keepNext w:val="0"/>
        <w:keepLines w:val="0"/>
        <w:pageBreakBefore w:val="0"/>
        <w:widowControl/>
        <w:numPr>
          <w:ilvl w:val="0"/>
          <w:numId w:val="0"/>
        </w:numPr>
        <w:spacing w:before="0" w:after="240" w:line="288" w:lineRule="auto"/>
        <w:ind w:left="0" w:right="0" w:firstLine="0"/>
        <w:jc w:val="right"/>
        <w:outlineLvl w:val="0"/>
        <w:rPr>
          <w:rFonts w:ascii="Times New Roman" w:eastAsia="Times New Roman" w:hAnsi="Times New Roman" w:cs="Times New Roman"/>
          <w:b w:val="0"/>
          <w:i w:val="0"/>
          <w:sz w:val="20"/>
        </w:rPr>
      </w:pPr>
      <w:bookmarkStart w:id="15" w:name="Section4"/>
      <w:bookmarkEnd w:id="15"/>
      <w:r>
        <w:rPr>
          <w:rFonts w:ascii="Times New Roman" w:eastAsia="Times New Roman" w:hAnsi="Times New Roman" w:cs="Times New Roman"/>
          <w:b/>
          <w:i w:val="0"/>
          <w:color w:val="000000"/>
          <w:sz w:val="20"/>
          <w:u w:val="single"/>
        </w:rPr>
        <w:t>Annex A</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00"/>
          <w:sz w:val="20"/>
          <w:u w:val="single"/>
        </w:rPr>
        <w:t>Plan of Distribution</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Each Selling Shareholder (the “</w:t>
      </w:r>
      <w:r>
        <w:rPr>
          <w:rFonts w:ascii="Times New Roman" w:eastAsia="Times New Roman" w:hAnsi="Times New Roman" w:cs="Times New Roman"/>
          <w:b w:val="0"/>
          <w:i w:val="0"/>
          <w:color w:val="000000"/>
          <w:sz w:val="20"/>
          <w:u w:val="single"/>
        </w:rPr>
        <w:t>Selling Shareholder</w:t>
      </w:r>
      <w:r>
        <w:rPr>
          <w:rFonts w:ascii="Times New Roman" w:eastAsia="Times New Roman" w:hAnsi="Times New Roman" w:cs="Times New Roman"/>
          <w:b w:val="0"/>
          <w:i w:val="0"/>
          <w:sz w:val="20"/>
        </w:rPr>
        <w:t>”) of the securities and any of their pledgees, assignees and successors-in-interest may, from time to time, sell any or all of their securities covered hereby on the principal Trading Market or any other stock exchange, market or trading facility on which the securities are traded or in private transactions. These sales may be at fixed or negotiated prices. A Selling Shareholder may use any one or more of the following methods when selling securities:</w:t>
      </w:r>
    </w:p>
    <w:tbl>
      <w:tblPr>
        <w:tblW w:w="9375"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60"/>
        <w:gridCol w:w="195"/>
        <w:gridCol w:w="8520"/>
      </w:tblGrid>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ordinary brokerage transactions and transactions in which the broker-dealer solicits purchasers;</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705"/>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block trades in which the broker-dealer will attempt to sell the securities as agent but may position and resell a portion of the block as principal to facilitate the transaction;</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purchases by a broker-dealer as principal and resale by the broker-dealer for its account;</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an exchange distribution in accordance with the rules of the applicable exchange;</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privately negotiated transactions;</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settlement of short sales;</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705"/>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in transactions through broker-dealers that agree with the Selling Shareholders to sell a specified number of such securities at a stipulated price per security;</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705"/>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through the writing or settlement of options or other hedging transactions, whether through an options exchange or otherwise;</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ind w:right="-53"/>
              <w:jc w:val="both"/>
            </w:pPr>
            <w:r>
              <w:rPr>
                <w:rFonts w:ascii="Times New Roman" w:eastAsia="Times New Roman" w:hAnsi="Times New Roman" w:cs="Times New Roman"/>
                <w:b w:val="0"/>
                <w:i w:val="0"/>
                <w:color w:val="000000"/>
                <w:sz w:val="20"/>
                <w:u w:val="none"/>
              </w:rPr>
              <w:t>a combination of any such methods of sale; or</w:t>
            </w:r>
          </w:p>
        </w:tc>
      </w:tr>
      <w:tr>
        <w:tblPrEx>
          <w:tblW w:w="9375" w:type="dxa"/>
          <w:tblInd w:w="0" w:type="dxa"/>
          <w:tblLayout w:type="fixed"/>
        </w:tblPrEx>
        <w:trPr>
          <w:cantSplit/>
          <w:trHeight w:hRule="auto" w:val="0"/>
        </w:trPr>
        <w:tc>
          <w:tcPr>
            <w:tcW w:w="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852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75" w:type="dxa"/>
          <w:tblInd w:w="0" w:type="dxa"/>
          <w:tblLayout w:type="fixed"/>
        </w:tblPrEx>
        <w:trPr>
          <w:cantSplit/>
          <w:trHeight w:hRule="exact" w:val="480"/>
        </w:trPr>
        <w:tc>
          <w:tcPr>
            <w:tcW w:w="66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ind w:right="-53"/>
              <w:jc w:val="both"/>
            </w:pPr>
            <w:r>
              <w:rPr>
                <w:rFonts w:ascii="Times New Roman" w:eastAsia="Times New Roman" w:hAnsi="Times New Roman" w:cs="Times New Roman"/>
                <w:b w:val="0"/>
                <w:i w:val="0"/>
                <w:color w:val="000000"/>
                <w:sz w:val="20"/>
                <w:u w:val="none"/>
              </w:rPr>
              <w:t>●</w:t>
            </w:r>
          </w:p>
        </w:tc>
        <w:tc>
          <w:tcPr>
            <w:tcW w:w="85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ind w:right="-53"/>
              <w:jc w:val="both"/>
            </w:pPr>
            <w:r>
              <w:rPr>
                <w:rFonts w:ascii="Times New Roman" w:eastAsia="Times New Roman" w:hAnsi="Times New Roman" w:cs="Times New Roman"/>
                <w:b w:val="0"/>
                <w:i w:val="0"/>
                <w:color w:val="000000"/>
                <w:sz w:val="20"/>
                <w:u w:val="none"/>
              </w:rPr>
              <w:t>any other method permitted pursuant to applicable law.</w:t>
            </w:r>
          </w:p>
        </w:tc>
      </w:tr>
    </w:tbl>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Selling Shareholders may also sell securities under Rule 144 or any other exemption from registration under the Securities Act of 1933, as amended (the “</w:t>
      </w:r>
      <w:r>
        <w:rPr>
          <w:rFonts w:ascii="Times New Roman" w:eastAsia="Times New Roman" w:hAnsi="Times New Roman" w:cs="Times New Roman"/>
          <w:b w:val="0"/>
          <w:i w:val="0"/>
          <w:color w:val="000000"/>
          <w:sz w:val="20"/>
          <w:u w:val="single"/>
        </w:rPr>
        <w:t>Securities Act</w:t>
      </w:r>
      <w:r>
        <w:rPr>
          <w:rFonts w:ascii="Times New Roman" w:eastAsia="Times New Roman" w:hAnsi="Times New Roman" w:cs="Times New Roman"/>
          <w:b w:val="0"/>
          <w:i w:val="0"/>
          <w:sz w:val="20"/>
        </w:rPr>
        <w:t>”), if available, rather than under this prospectus.</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Broker-dealers engaged by the Selling Shareholders may arrange for other brokers-dealers to participate in sales. Broker-dealers may receive commissions or discounts from the Selling Shareholders (or, if any broker-dealer acts as agent for the purchaser of securities, from the purchaser) in amounts to be negotiated, but, except as set forth in a supplement to this Prospectus, in the case of an agency transaction not in excess of a customary brokerage commission in compliance with FINRA Rule 2121; and in the case of a principal transaction a markup or markdown in compliance with FINRA Rule 2121.</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 connection with the sale of the securities or interests therein, the Selling Shareholders may enter into hedging transactions with broker-dealers or other financial institutions, which may in turn engage in short sales of the securities in the course of hedging the positions they assume. The Selling Shareholders may also sell securities short and deliver these securities to close out their short positions, or loan or pledge the securities to broker-dealers that in turn may sell these securities. The Selling Shareholders may also enter into option or other transactions with broker-dealers or other financial institutions or create one or more derivative securities which require the delivery to such broker-dealer or other financial institution of securities offered by this prospectus, which securities such broker-dealer or other financial institution may resell pursuant to this prospectus (as supplemented or amended to reflect such transaction).</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Selling Shareholders and any broker-dealers or agents that are involved in selling the securities may be deemed to be “underwriters” within the meaning of the Securities Act in connection with such sales. In such event, any commissions received by such broker-dealers or agents and any profit on the resale of the securities purchased by them may be deemed to be underwriting commissions or discounts under the Securities Act. Each Selling Shareholders has informed the Company that it does not have any written or oral agreement or understanding, directly or indirectly, with any person to distribute the securities.</w:t>
      </w:r>
    </w:p>
    <w:p>
      <w:pPr>
        <w:keepNext w:val="0"/>
        <w:keepLines w:val="0"/>
        <w:pageBreakBefore w:val="0"/>
        <w:widowControl/>
        <w:numPr>
          <w:ilvl w:val="0"/>
          <w:numId w:val="0"/>
        </w:numPr>
        <w:spacing w:before="12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 is required to pay certain fees and expenses incurred by the Company incident to the registration of the securities. The Company has agreed to indemnify the Selling Shareholders against certain losses, claims, damages and liabilities, including liabilities under the Securities Act.</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We agreed to keep the registration statement of which this  prospectus is a part effective until the earlier of (i) the date on which the securities may be resold by the Selling Shareholders without registration and without regard to any volume or manner-of-sale limitations by reason of Rule 144, without the requirement for the Company to be in compliance with the current public information under Rule 144 under the Securities Act or any other rule of similar effect or (ii) all of the securities have been sold pursuant to this prospectus or Rule 144 under the Securities Act or any other rule of similar effect. The resale securities will be sold only through registered or licensed brokers or dealers if required under applicable state securities laws. In addition, in certain states, the resale securities covered hereby may not be sold unless they have been registered or qualified for sale in the applicable state or an exemption from the registration or qualification requirement is available and is complied with.</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Under applicable rules and regulations under the Exchange Act, any person engaged in the distribution of the resale securities may not simultaneously engage in market making activities with respect to the shares of Common Stock for the applicable restricted period, as defined in Regulation M, prior to the commencement of the distribution. In addition, the Selling Shareholders will be subject to applicable provisions of the Exchange Act and the rules and regulations thereunder, including Regulation M, which may limit the timing of purchases and sales of the shares of common stock by the Selling Shareholders or any other person. We will make copies of this prospectus available to the Selling Shareholders and have informed them of the need to deliver a copy of this prospectus to each purchaser at or prior to the time of the sale (including by compliance with Rule 172 under the Securities Act).</w:t>
      </w:r>
      <w:r>
        <w:rPr>
          <w:rFonts w:ascii="Times New Roman" w:eastAsia="Times New Roman" w:hAnsi="Times New Roman" w:cs="Times New Roman"/>
          <w:b/>
          <w:i w:val="0"/>
          <w:sz w:val="20"/>
        </w:rPr>
        <w:t xml:space="preserve"> </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sectPr>
          <w:pgSz w:w="12240" w:h="15840"/>
          <w:pgMar w:top="1440" w:right="1440" w:bottom="1440" w:left="1440" w:header="0" w:footer="720" w:gutter="0"/>
          <w:cols w:space="720"/>
        </w:sectPr>
      </w:pPr>
    </w:p>
    <w:p>
      <w:pPr>
        <w:keepNext w:val="0"/>
        <w:keepLines w:val="0"/>
        <w:pageBreakBefore w:val="0"/>
        <w:widowControl/>
        <w:numPr>
          <w:ilvl w:val="0"/>
          <w:numId w:val="0"/>
        </w:numPr>
        <w:spacing w:before="0" w:after="240" w:line="288" w:lineRule="auto"/>
        <w:ind w:left="0" w:right="0" w:firstLine="720"/>
        <w:jc w:val="right"/>
        <w:outlineLvl w:val="0"/>
        <w:rPr>
          <w:rFonts w:ascii="Times New Roman" w:eastAsia="Times New Roman" w:hAnsi="Times New Roman" w:cs="Times New Roman"/>
          <w:b w:val="0"/>
          <w:i w:val="0"/>
          <w:sz w:val="20"/>
        </w:rPr>
      </w:pPr>
      <w:bookmarkStart w:id="16" w:name="Section5"/>
      <w:bookmarkEnd w:id="16"/>
      <w:r>
        <w:rPr>
          <w:rFonts w:ascii="Times New Roman" w:eastAsia="Times New Roman" w:hAnsi="Times New Roman" w:cs="Times New Roman"/>
          <w:b/>
          <w:i w:val="0"/>
          <w:color w:val="000000"/>
          <w:sz w:val="20"/>
          <w:u w:val="single"/>
        </w:rPr>
        <w:t>Annex B</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NN, INC.</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Selling Shareholder Notice and Questionnaire</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undersigned beneficial owner of shares of common stock and/or Pre-Funded Warrant Shares (the “</w:t>
      </w:r>
      <w:r>
        <w:rPr>
          <w:rFonts w:ascii="Times New Roman" w:eastAsia="Times New Roman" w:hAnsi="Times New Roman" w:cs="Times New Roman"/>
          <w:b w:val="0"/>
          <w:i w:val="0"/>
          <w:color w:val="000000"/>
          <w:sz w:val="20"/>
          <w:u w:val="single"/>
        </w:rPr>
        <w:t>Registrable Securities</w:t>
      </w:r>
      <w:r>
        <w:rPr>
          <w:rFonts w:ascii="Times New Roman" w:eastAsia="Times New Roman" w:hAnsi="Times New Roman" w:cs="Times New Roman"/>
          <w:b w:val="0"/>
          <w:i w:val="0"/>
          <w:sz w:val="20"/>
        </w:rPr>
        <w:t>”) of NN, Inc., a Delaware corporation (the “</w:t>
      </w:r>
      <w:r>
        <w:rPr>
          <w:rFonts w:ascii="Times New Roman" w:eastAsia="Times New Roman" w:hAnsi="Times New Roman" w:cs="Times New Roman"/>
          <w:b w:val="0"/>
          <w:i w:val="0"/>
          <w:color w:val="000000"/>
          <w:sz w:val="20"/>
          <w:u w:val="single"/>
        </w:rPr>
        <w:t>Company</w:t>
      </w:r>
      <w:r>
        <w:rPr>
          <w:rFonts w:ascii="Times New Roman" w:eastAsia="Times New Roman" w:hAnsi="Times New Roman" w:cs="Times New Roman"/>
          <w:b w:val="0"/>
          <w:i w:val="0"/>
          <w:sz w:val="20"/>
        </w:rPr>
        <w:t>”), understands that the Company has filed or intends to file with the Securities and Exchange Commission (the “</w:t>
      </w:r>
      <w:r>
        <w:rPr>
          <w:rFonts w:ascii="Times New Roman" w:eastAsia="Times New Roman" w:hAnsi="Times New Roman" w:cs="Times New Roman"/>
          <w:b w:val="0"/>
          <w:i w:val="0"/>
          <w:color w:val="000000"/>
          <w:sz w:val="20"/>
          <w:u w:val="single"/>
        </w:rPr>
        <w:t>Commission</w:t>
      </w:r>
      <w:r>
        <w:rPr>
          <w:rFonts w:ascii="Times New Roman" w:eastAsia="Times New Roman" w:hAnsi="Times New Roman" w:cs="Times New Roman"/>
          <w:b w:val="0"/>
          <w:i w:val="0"/>
          <w:sz w:val="20"/>
        </w:rPr>
        <w:t>”) a registration statement (the “</w:t>
      </w:r>
      <w:r>
        <w:rPr>
          <w:rFonts w:ascii="Times New Roman" w:eastAsia="Times New Roman" w:hAnsi="Times New Roman" w:cs="Times New Roman"/>
          <w:b w:val="0"/>
          <w:i w:val="0"/>
          <w:color w:val="000000"/>
          <w:sz w:val="20"/>
          <w:u w:val="single"/>
        </w:rPr>
        <w:t>Registration Statement</w:t>
      </w:r>
      <w:r>
        <w:rPr>
          <w:rFonts w:ascii="Times New Roman" w:eastAsia="Times New Roman" w:hAnsi="Times New Roman" w:cs="Times New Roman"/>
          <w:b w:val="0"/>
          <w:i w:val="0"/>
          <w:sz w:val="20"/>
        </w:rPr>
        <w:t>”) for the registration and resale under Rule 415 of the Securities Act of 1933, as amended (the “</w:t>
      </w:r>
      <w:r>
        <w:rPr>
          <w:rFonts w:ascii="Times New Roman" w:eastAsia="Times New Roman" w:hAnsi="Times New Roman" w:cs="Times New Roman"/>
          <w:b w:val="0"/>
          <w:i w:val="0"/>
          <w:color w:val="000000"/>
          <w:sz w:val="20"/>
          <w:u w:val="single"/>
        </w:rPr>
        <w:t>Securities Act</w:t>
      </w:r>
      <w:r>
        <w:rPr>
          <w:rFonts w:ascii="Times New Roman" w:eastAsia="Times New Roman" w:hAnsi="Times New Roman" w:cs="Times New Roman"/>
          <w:b w:val="0"/>
          <w:i w:val="0"/>
          <w:sz w:val="20"/>
        </w:rPr>
        <w:t>”), of the Registrable Securities, in accordance with the terms of the Registration Rights Agreement (the “</w:t>
      </w:r>
      <w:r>
        <w:rPr>
          <w:rFonts w:ascii="Times New Roman" w:eastAsia="Times New Roman" w:hAnsi="Times New Roman" w:cs="Times New Roman"/>
          <w:b w:val="0"/>
          <w:i w:val="0"/>
          <w:color w:val="000000"/>
          <w:sz w:val="20"/>
          <w:u w:val="single"/>
        </w:rPr>
        <w:t>Registration Rights Agreement</w:t>
      </w:r>
      <w:r>
        <w:rPr>
          <w:rFonts w:ascii="Times New Roman" w:eastAsia="Times New Roman" w:hAnsi="Times New Roman" w:cs="Times New Roman"/>
          <w:b w:val="0"/>
          <w:i w:val="0"/>
          <w:sz w:val="20"/>
        </w:rPr>
        <w:t>”) to which this document is annexed. A copy of the Registration Rights Agreement is available from the Company upon request at the address set forth below. All capitalized terms not otherwise defined herein shall have the meanings ascribed thereto in the Registration Rights Agreement.</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Certain legal consequences arise from being named as a selling shareholder in the Registration Statement and the related prospectus. Accordingly, holders and beneficial owners of Registrable Securities are advised to consult their own securities law counsel regarding the consequences of being named or not being named as a selling shareholder in the Registration Statement and the related prospectus.</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NOTICE</w:t>
      </w:r>
    </w:p>
    <w:p>
      <w:pPr>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undersigned beneficial owner (the “</w:t>
      </w:r>
      <w:r>
        <w:rPr>
          <w:rFonts w:ascii="Times New Roman" w:eastAsia="Times New Roman" w:hAnsi="Times New Roman" w:cs="Times New Roman"/>
          <w:b w:val="0"/>
          <w:i w:val="0"/>
          <w:color w:val="000000"/>
          <w:sz w:val="20"/>
          <w:u w:val="single"/>
        </w:rPr>
        <w:t>Selling Shareholder</w:t>
      </w:r>
      <w:r>
        <w:rPr>
          <w:rFonts w:ascii="Times New Roman" w:eastAsia="Times New Roman" w:hAnsi="Times New Roman" w:cs="Times New Roman"/>
          <w:b w:val="0"/>
          <w:i w:val="0"/>
          <w:sz w:val="20"/>
        </w:rPr>
        <w:t>”) of Registrable Securities hereby elects to include the Registrable Securities owned by it in the Registration Statement.</w:t>
      </w: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undersigned hereby provides the following information to the Company and represents and warrants that such information is accurate:</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QUESTIONNAIRE</w:t>
      </w:r>
    </w:p>
    <w:p>
      <w:pPr>
        <w:keepNext w:val="0"/>
        <w:keepLines w:val="0"/>
        <w:pageBreakBefore w:val="0"/>
        <w:widowControl/>
        <w:numPr>
          <w:ilvl w:val="0"/>
          <w:numId w:val="0"/>
        </w:numPr>
        <w:spacing w:before="0" w:after="240" w:line="288" w:lineRule="auto"/>
        <w:ind w:left="0" w:right="0" w:firstLine="0"/>
        <w:jc w:val="center"/>
        <w:outlineLvl w:val="9"/>
        <w:rPr>
          <w:rFonts w:ascii="Times New Roman" w:eastAsia="Times New Roman" w:hAnsi="Times New Roman" w:cs="Times New Roman"/>
          <w:b w:val="0"/>
          <w:i w:val="0"/>
          <w:sz w:val="20"/>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i w:val="0"/>
          <w:color w:val="000000"/>
          <w:sz w:val="20"/>
          <w:u w:val="none"/>
        </w:rPr>
        <w:t>1.</w:t>
      </w:r>
      <w:r>
        <w:rPr>
          <w:rFonts w:ascii="Times New Roman" w:eastAsia="Times New Roman" w:hAnsi="Times New Roman" w:cs="Times New Roman"/>
          <w:b/>
          <w:i w:val="0"/>
          <w:color w:val="000000"/>
          <w:sz w:val="20"/>
          <w:u w:val="none"/>
        </w:rPr>
        <w:tab/>
      </w:r>
      <w:r>
        <w:rPr>
          <w:rFonts w:ascii="Times New Roman" w:eastAsia="Times New Roman" w:hAnsi="Times New Roman" w:cs="Times New Roman"/>
          <w:b/>
          <w:i w:val="0"/>
          <w:color w:val="000000"/>
          <w:sz w:val="20"/>
          <w:u w:val="none"/>
        </w:rPr>
        <w:t>Name.</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Full Legal Name of Selling Stockholder</w:t>
      </w:r>
    </w:p>
    <w:tbl>
      <w:tblPr>
        <w:tblW w:w="8040" w:type="dxa"/>
        <w:jc w:val="left"/>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8040"/>
      </w:tblGrid>
      <w:tr>
        <w:tblPrEx>
          <w:tblW w:w="8040" w:type="dxa"/>
          <w:tblInd w:w="1548" w:type="dxa"/>
          <w:tblLayout w:type="fixed"/>
        </w:tblPrEx>
        <w:trPr>
          <w:cantSplit/>
          <w:trHeight w:hRule="auto" w:val="0"/>
        </w:trPr>
        <w:tc>
          <w:tcPr>
            <w:tcW w:w="804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8040" w:type="dxa"/>
          <w:tblInd w:w="1548" w:type="dxa"/>
          <w:tblLayout w:type="fixed"/>
        </w:tblPrEx>
        <w:trPr>
          <w:cantSplit/>
          <w:trHeight w:hRule="auto" w:val="0"/>
        </w:trPr>
        <w:tc>
          <w:tcPr>
            <w:tcW w:w="8040" w:type="dxa"/>
            <w:tcBorders>
              <w:top w:val="single" w:sz="4" w:space="0" w:color="000000"/>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bl>
    <w:p>
      <w:pPr>
        <w:keepNext w:val="0"/>
        <w:keepLines w:val="0"/>
        <w:pageBreakBefore w:val="0"/>
        <w:widowControl/>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(b)</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Full Legal Name of Registered Holder (if not the same as (a) above) through which Registrable Securities are held:</w:t>
      </w:r>
    </w:p>
    <w:tbl>
      <w:tblPr>
        <w:tblW w:w="8010" w:type="dxa"/>
        <w:jc w:val="left"/>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8010"/>
      </w:tblGrid>
      <w:tr>
        <w:tblPrEx>
          <w:tblW w:w="8010" w:type="dxa"/>
          <w:tblInd w:w="1548" w:type="dxa"/>
          <w:tblLayout w:type="fixed"/>
        </w:tblPrEx>
        <w:trPr>
          <w:cantSplit/>
          <w:trHeight w:hRule="auto" w:val="0"/>
        </w:trPr>
        <w:tc>
          <w:tcPr>
            <w:tcW w:w="801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8010" w:type="dxa"/>
          <w:tblInd w:w="1548" w:type="dxa"/>
          <w:tblLayout w:type="fixed"/>
        </w:tblPrEx>
        <w:trPr>
          <w:cantSplit/>
          <w:trHeight w:hRule="auto" w:val="0"/>
        </w:trPr>
        <w:tc>
          <w:tcPr>
            <w:tcW w:w="8010" w:type="dxa"/>
            <w:tcBorders>
              <w:top w:val="single" w:sz="4" w:space="0" w:color="000000"/>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bl>
    <w:p>
      <w:pPr>
        <w:keepNext w:val="0"/>
        <w:keepLines w:val="0"/>
        <w:pageBreakBefore w:val="0"/>
        <w:widowControl/>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(c)</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Full Legal Name of Natural Control Person (which means a natural person who directly or indirectly alone or with others has power to vote or dispose of the securities covered by this Questionnaire) or Control Persons:</w:t>
      </w:r>
    </w:p>
    <w:tbl>
      <w:tblPr>
        <w:tblW w:w="8010" w:type="dxa"/>
        <w:jc w:val="left"/>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8010"/>
      </w:tblGrid>
      <w:tr>
        <w:tblPrEx>
          <w:tblW w:w="8010" w:type="dxa"/>
          <w:tblInd w:w="1548" w:type="dxa"/>
          <w:tblLayout w:type="fixed"/>
        </w:tblPrEx>
        <w:trPr>
          <w:cantSplit/>
          <w:trHeight w:hRule="auto" w:val="0"/>
        </w:trPr>
        <w:tc>
          <w:tcPr>
            <w:tcW w:w="801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8010" w:type="dxa"/>
          <w:tblInd w:w="1548" w:type="dxa"/>
          <w:tblLayout w:type="fixed"/>
        </w:tblPrEx>
        <w:trPr>
          <w:cantSplit/>
          <w:trHeight w:hRule="auto" w:val="0"/>
        </w:trPr>
        <w:tc>
          <w:tcPr>
            <w:tcW w:w="8010" w:type="dxa"/>
            <w:tcBorders>
              <w:top w:val="single" w:sz="4" w:space="0" w:color="000000"/>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bl>
    <w:p>
      <w:pPr>
        <w:keepNext w:val="0"/>
        <w:keepLines w:val="0"/>
        <w:pageBreakBefore w:val="0"/>
        <w:widowControl/>
        <w:numPr>
          <w:ilvl w:val="0"/>
          <w:numId w:val="0"/>
        </w:numPr>
        <w:tabs>
          <w:tab w:val="left" w:pos="720"/>
        </w:tabs>
        <w:spacing w:before="0" w:after="24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val="0"/>
        <w:pageBreakBefore w:val="0"/>
        <w:widowControl/>
        <w:numPr>
          <w:ilvl w:val="0"/>
          <w:numId w:val="0"/>
        </w:numPr>
        <w:tabs>
          <w:tab w:val="left" w:pos="720"/>
        </w:tabs>
        <w:spacing w:before="0" w:after="24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val="0"/>
        <w:pageBreakBefore w:val="0"/>
        <w:widowControl/>
        <w:numPr>
          <w:ilvl w:val="0"/>
          <w:numId w:val="0"/>
        </w:numPr>
        <w:tabs>
          <w:tab w:val="left" w:pos="720"/>
        </w:tabs>
        <w:spacing w:before="0" w:after="240" w:line="288" w:lineRule="auto"/>
        <w:ind w:left="0" w:right="0" w:firstLine="0"/>
        <w:jc w:val="both"/>
        <w:outlineLvl w:val="9"/>
        <w:rPr>
          <w:rFonts w:ascii="Times New Roman" w:eastAsia="Times New Roman" w:hAnsi="Times New Roman" w:cs="Times New Roman"/>
          <w:b w:val="0"/>
          <w:i w:val="0"/>
          <w:color w:val="000000"/>
          <w:sz w:val="20"/>
          <w:u w:val="none"/>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i w:val="0"/>
          <w:color w:val="000000"/>
          <w:sz w:val="20"/>
          <w:u w:val="none"/>
        </w:rPr>
        <w:t>2.  Address for Notices to Selling Stockholder:</w:t>
      </w:r>
    </w:p>
    <w:tbl>
      <w:tblPr>
        <w:tblW w:w="9360" w:type="dxa"/>
        <w:jc w:val="lef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108" w:type="dxa"/>
          <w:tblLayout w:type="fixed"/>
        </w:tblPrEx>
        <w:trPr>
          <w:cantSplit/>
          <w:trHeight w:hRule="auto" w:val="0"/>
        </w:trPr>
        <w:tc>
          <w:tcPr>
            <w:tcW w:w="936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60" w:type="dxa"/>
          <w:tblInd w:w="108" w:type="dxa"/>
          <w:tblLayout w:type="fixed"/>
        </w:tblPrEx>
        <w:trPr>
          <w:cantSplit/>
          <w:trHeight w:hRule="auto" w:val="0"/>
        </w:trPr>
        <w:tc>
          <w:tcPr>
            <w:tcW w:w="9360" w:type="dxa"/>
            <w:tcBorders>
              <w:top w:val="single" w:sz="4" w:space="0" w:color="000000"/>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60" w:type="dxa"/>
          <w:tblInd w:w="108" w:type="dxa"/>
          <w:tblLayout w:type="fixed"/>
        </w:tblPrEx>
        <w:trPr>
          <w:cantSplit/>
          <w:trHeight w:hRule="auto" w:val="0"/>
        </w:trPr>
        <w:tc>
          <w:tcPr>
            <w:tcW w:w="9360" w:type="dxa"/>
            <w:tcBorders>
              <w:top w:val="single" w:sz="4" w:space="0" w:color="000000"/>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9360" w:type="dxa"/>
          <w:tblInd w:w="108" w:type="dxa"/>
          <w:tblLayout w:type="fixed"/>
        </w:tblPrEx>
        <w:trPr>
          <w:cantSplit/>
          <w:trHeight w:hRule="auto" w:val="0"/>
        </w:trPr>
        <w:tc>
          <w:tcPr>
            <w:tcW w:w="9360" w:type="dxa"/>
            <w:tcBorders>
              <w:top w:val="single" w:sz="4" w:space="0" w:color="000000"/>
              <w:left w:val="nil"/>
              <w:bottom w:val="nil"/>
              <w:right w:val="nil"/>
            </w:tcBorders>
            <w:tcMar>
              <w:top w:w="0" w:type="dxa"/>
              <w:left w:w="53" w:type="dxa"/>
              <w:bottom w:w="0" w:type="dxa"/>
              <w:right w:w="53" w:type="dxa"/>
            </w:tcMar>
            <w:vAlign w:val="top"/>
          </w:tcPr>
          <w:p>
            <w:pPr>
              <w:keepNext/>
              <w:pageBreakBefore w:val="0"/>
              <w:numPr>
                <w:ilvl w:val="0"/>
                <w:numId w:val="0"/>
              </w:numPr>
              <w:tabs>
                <w:tab w:val="left" w:pos="9300"/>
              </w:tabs>
              <w:spacing w:before="33" w:after="20" w:line="288" w:lineRule="auto"/>
              <w:ind w:left="55" w:right="55"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Telephone:</w:t>
            </w:r>
            <w:r>
              <w:rPr>
                <w:rFonts w:ascii="Times New Roman" w:eastAsia="Times New Roman" w:hAnsi="Times New Roman" w:cs="Times New Roman"/>
                <w:b w:val="0"/>
                <w:i w:val="0"/>
                <w:color w:val="000000"/>
                <w:sz w:val="20"/>
                <w:u w:val="single"/>
              </w:rPr>
              <w:tab/>
            </w:r>
          </w:p>
        </w:tc>
      </w:tr>
      <w:tr>
        <w:tblPrEx>
          <w:tblW w:w="9360" w:type="dxa"/>
          <w:tblInd w:w="108" w:type="dxa"/>
          <w:tblLayout w:type="fixed"/>
        </w:tblPrEx>
        <w:trPr>
          <w:cantSplit/>
          <w:trHeight w:hRule="auto" w:val="0"/>
        </w:trPr>
        <w:tc>
          <w:tcPr>
            <w:tcW w:w="9360"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tabs>
                <w:tab w:val="left" w:pos="930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E-Mail:</w:t>
            </w:r>
            <w:r>
              <w:rPr>
                <w:rFonts w:ascii="Times New Roman" w:eastAsia="Times New Roman" w:hAnsi="Times New Roman" w:cs="Times New Roman"/>
                <w:b w:val="0"/>
                <w:i w:val="0"/>
                <w:color w:val="000000"/>
                <w:sz w:val="20"/>
                <w:u w:val="single"/>
              </w:rPr>
              <w:tab/>
            </w:r>
          </w:p>
        </w:tc>
      </w:tr>
      <w:tr>
        <w:tblPrEx>
          <w:tblW w:w="9360" w:type="dxa"/>
          <w:tblInd w:w="108" w:type="dxa"/>
          <w:tblLayout w:type="fixed"/>
        </w:tblPrEx>
        <w:trPr>
          <w:cantSplit/>
          <w:trHeight w:hRule="auto" w:val="0"/>
        </w:trPr>
        <w:tc>
          <w:tcPr>
            <w:tcW w:w="9360" w:type="dxa"/>
            <w:tcBorders>
              <w:top w:val="nil"/>
              <w:left w:val="nil"/>
              <w:bottom w:val="nil"/>
              <w:right w:val="nil"/>
            </w:tcBorders>
            <w:tcMar>
              <w:top w:w="0" w:type="dxa"/>
              <w:left w:w="53" w:type="dxa"/>
              <w:bottom w:w="0" w:type="dxa"/>
              <w:right w:w="53" w:type="dxa"/>
            </w:tcMar>
            <w:vAlign w:val="top"/>
          </w:tcPr>
          <w:p>
            <w:pPr>
              <w:pageBreakBefore w:val="0"/>
              <w:numPr>
                <w:ilvl w:val="0"/>
                <w:numId w:val="0"/>
              </w:numPr>
              <w:tabs>
                <w:tab w:val="left" w:pos="9300"/>
              </w:tabs>
              <w:spacing w:before="43" w:after="20" w:line="288" w:lineRule="auto"/>
              <w:ind w:left="55" w:right="55"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Contact Person:</w:t>
            </w:r>
            <w:r>
              <w:rPr>
                <w:rFonts w:ascii="Times New Roman" w:eastAsia="Times New Roman" w:hAnsi="Times New Roman" w:cs="Times New Roman"/>
                <w:b w:val="0"/>
                <w:i w:val="0"/>
                <w:color w:val="000000"/>
                <w:sz w:val="20"/>
                <w:u w:val="single"/>
              </w:rPr>
              <w:tab/>
            </w:r>
          </w:p>
        </w:tc>
      </w:tr>
    </w:tbl>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0"/>
          <w:u w:val="none"/>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i w:val="0"/>
          <w:color w:val="000000"/>
          <w:sz w:val="20"/>
          <w:u w:val="none"/>
        </w:rPr>
        <w:t>3.  Broker-Dealer Status:</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Are you a broker-dealer?</w:t>
      </w:r>
    </w:p>
    <w:p>
      <w:pPr>
        <w:pStyle w:val="Style6"/>
        <w:keepNext w:val="0"/>
        <w:keepLines w:val="0"/>
        <w:pageBreakBefore w:val="0"/>
        <w:widowControl/>
        <w:numPr>
          <w:ilvl w:val="0"/>
          <w:numId w:val="0"/>
        </w:numPr>
        <w:tabs>
          <w:tab w:val="left" w:pos="3600"/>
        </w:tabs>
        <w:spacing w:before="0" w:after="240" w:line="288" w:lineRule="auto"/>
        <w:ind w:left="720" w:right="0" w:firstLine="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Yes    </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No    </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(b)</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If “yes” to Section 3(a), did you receive your Registrable Securities as compensation for investment banking services to the Company?</w:t>
      </w:r>
    </w:p>
    <w:p>
      <w:pPr>
        <w:pStyle w:val="Style6"/>
        <w:keepNext w:val="0"/>
        <w:keepLines w:val="0"/>
        <w:pageBreakBefore w:val="0"/>
        <w:widowControl/>
        <w:numPr>
          <w:ilvl w:val="0"/>
          <w:numId w:val="0"/>
        </w:numPr>
        <w:tabs>
          <w:tab w:val="left" w:pos="3600"/>
        </w:tabs>
        <w:spacing w:before="0" w:after="240" w:line="288" w:lineRule="auto"/>
        <w:ind w:left="720" w:right="0" w:firstLine="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Yes    </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No    </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Note:</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If “no” to Section 3(b), the Commission’s staff has indicated that you should be identified as an underwriter in the Registration Statement.</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(c)</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Are you an affiliate of a broker-dealer?</w:t>
      </w:r>
    </w:p>
    <w:p>
      <w:pPr>
        <w:pStyle w:val="Style6"/>
        <w:keepNext w:val="0"/>
        <w:keepLines w:val="0"/>
        <w:pageBreakBefore w:val="0"/>
        <w:widowControl/>
        <w:numPr>
          <w:ilvl w:val="0"/>
          <w:numId w:val="0"/>
        </w:numPr>
        <w:tabs>
          <w:tab w:val="left" w:pos="3600"/>
        </w:tabs>
        <w:spacing w:before="0" w:after="240" w:line="288" w:lineRule="auto"/>
        <w:ind w:left="720" w:right="0" w:firstLine="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Yes    </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No    </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(d)</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If you are an affiliate of a broker-dealer, do you certify that you purchased the Registrable Securities in the ordinary course of business, and at the time of the purchase of the Registrable Securities to be resold, you had no agreements or understandings, directly or indirectly, with any person to distribute the Registrable Securities?</w:t>
      </w:r>
    </w:p>
    <w:p>
      <w:pPr>
        <w:pStyle w:val="Style6"/>
        <w:keepNext w:val="0"/>
        <w:keepLines w:val="0"/>
        <w:pageBreakBefore w:val="0"/>
        <w:widowControl/>
        <w:numPr>
          <w:ilvl w:val="0"/>
          <w:numId w:val="0"/>
        </w:numPr>
        <w:tabs>
          <w:tab w:val="left" w:pos="3600"/>
        </w:tabs>
        <w:spacing w:before="0" w:after="240" w:line="288" w:lineRule="auto"/>
        <w:ind w:left="720" w:right="0" w:firstLine="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Yes    </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No    </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Note:</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If “no” to Section 3(d), the Commission’s staff has indicated that you should be identified as an underwriter in the Registration Statement.</w:t>
      </w:r>
    </w:p>
    <w:p>
      <w:pPr>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0"/>
          <w:u w:val="none"/>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i w:val="0"/>
          <w:color w:val="000000"/>
          <w:sz w:val="20"/>
          <w:u w:val="none"/>
        </w:rPr>
        <w:t>4.  Beneficial Ownership of Securities of the Company Owned by the Selling Stockholder.</w:t>
      </w:r>
    </w:p>
    <w:p>
      <w:pPr>
        <w:pStyle w:val="Style2"/>
        <w:keepNext w:val="0"/>
        <w:keepLines w:val="0"/>
        <w:pageBreakBefore w:val="0"/>
        <w:widowControl/>
        <w:numPr>
          <w:ilvl w:val="0"/>
          <w:numId w:val="0"/>
        </w:numPr>
        <w:spacing w:before="0" w:after="240" w:line="288" w:lineRule="auto"/>
        <w:ind w:left="720" w:right="0" w:firstLine="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color w:val="000000"/>
          <w:sz w:val="20"/>
          <w:u w:val="none"/>
        </w:rPr>
        <w:t>Except as set forth below in this Item 4, the undersigned is not the beneficial or registered owner of any securities of the Company other than the securities issuable pursuant to the Purchase Agreement.</w:t>
      </w:r>
    </w:p>
    <w:p>
      <w:pPr>
        <w:pStyle w:val="Style28"/>
        <w:keepNext w:val="0"/>
        <w:keepLines w:val="0"/>
        <w:pageBreakBefore w:val="0"/>
        <w:widowControl/>
        <w:numPr>
          <w:ilvl w:val="0"/>
          <w:numId w:val="0"/>
        </w:numPr>
        <w:tabs>
          <w:tab w:val="left" w:pos="720"/>
        </w:tabs>
        <w:spacing w:before="0" w:after="240" w:line="288" w:lineRule="auto"/>
        <w:ind w:left="1440" w:right="0" w:hanging="144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Type and Amount of other securities beneficially owned by the Selling Stockholder:</w:t>
      </w:r>
    </w:p>
    <w:tbl>
      <w:tblPr>
        <w:tblW w:w="7920" w:type="dxa"/>
        <w:jc w:val="left"/>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7920"/>
      </w:tblGrid>
      <w:tr>
        <w:tblPrEx>
          <w:tblW w:w="7920" w:type="dxa"/>
          <w:tblInd w:w="1548" w:type="dxa"/>
          <w:tblLayout w:type="fixed"/>
        </w:tblPrEx>
        <w:trPr>
          <w:cantSplit/>
          <w:trHeight w:hRule="auto" w:val="0"/>
        </w:trPr>
        <w:tc>
          <w:tcPr>
            <w:tcW w:w="792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7920" w:type="dxa"/>
          <w:tblInd w:w="1548" w:type="dxa"/>
          <w:tblLayout w:type="fixed"/>
        </w:tblPrEx>
        <w:trPr>
          <w:cantSplit/>
          <w:trHeight w:hRule="auto" w:val="0"/>
        </w:trPr>
        <w:tc>
          <w:tcPr>
            <w:tcW w:w="7920" w:type="dxa"/>
            <w:tcBorders>
              <w:top w:val="single" w:sz="4" w:space="0" w:color="000000"/>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7920" w:type="dxa"/>
          <w:tblInd w:w="1548" w:type="dxa"/>
          <w:tblLayout w:type="fixed"/>
        </w:tblPrEx>
        <w:trPr>
          <w:cantSplit/>
          <w:trHeight w:hRule="auto" w:val="0"/>
        </w:trPr>
        <w:tc>
          <w:tcPr>
            <w:tcW w:w="7920" w:type="dxa"/>
            <w:tcBorders>
              <w:top w:val="single" w:sz="4" w:space="0" w:color="000000"/>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bl>
    <w:p>
      <w:pPr>
        <w:keepNext w:val="0"/>
        <w:keepLines w:val="0"/>
        <w:pageBreakBefore w:val="0"/>
        <w:widowControl/>
        <w:numPr>
          <w:ilvl w:val="0"/>
          <w:numId w:val="0"/>
        </w:numPr>
        <w:tabs>
          <w:tab w:val="left" w:pos="720"/>
        </w:tabs>
        <w:spacing w:before="0" w:after="240" w:line="288" w:lineRule="auto"/>
        <w:ind w:left="0" w:right="0" w:firstLine="0"/>
        <w:jc w:val="left"/>
        <w:outlineLvl w:val="9"/>
        <w:rPr>
          <w:rFonts w:ascii="Times New Roman" w:eastAsia="Times New Roman" w:hAnsi="Times New Roman" w:cs="Times New Roman"/>
          <w:b w:val="0"/>
          <w:i w:val="0"/>
          <w:color w:val="000000"/>
          <w:sz w:val="20"/>
          <w:u w:val="none"/>
        </w:rPr>
      </w:pPr>
    </w:p>
    <w:p>
      <w:pPr>
        <w:pStyle w:val="Style28"/>
        <w:keepNext w:val="0"/>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i w:val="0"/>
          <w:color w:val="000000"/>
          <w:sz w:val="20"/>
          <w:u w:val="none"/>
        </w:rPr>
        <w:t>5.  Relationships with the Company:</w:t>
      </w:r>
    </w:p>
    <w:p>
      <w:pPr>
        <w:pStyle w:val="Style2"/>
        <w:keepNext w:val="0"/>
        <w:keepLines w:val="0"/>
        <w:pageBreakBefore w:val="0"/>
        <w:widowControl/>
        <w:numPr>
          <w:ilvl w:val="0"/>
          <w:numId w:val="0"/>
        </w:numPr>
        <w:spacing w:before="0" w:after="240" w:line="288" w:lineRule="auto"/>
        <w:ind w:left="720" w:right="0" w:firstLine="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color w:val="000000"/>
          <w:sz w:val="20"/>
          <w:u w:val="none"/>
        </w:rPr>
        <w:t>Except as set forth below, neither the undersigned nor any of its affiliates, officers, directors or principal equity holders (owners of 5% of more of the equity securities of the undersigned) has held any position or office or has had any other material relationship with the Company (or its predecessors or affiliates) during the past three years.</w:t>
      </w:r>
    </w:p>
    <w:p>
      <w:pPr>
        <w:pStyle w:val="Style28"/>
        <w:keepNext/>
        <w:keepLines w:val="0"/>
        <w:pageBreakBefore w:val="0"/>
        <w:widowControl/>
        <w:numPr>
          <w:ilvl w:val="0"/>
          <w:numId w:val="0"/>
        </w:numPr>
        <w:tabs>
          <w:tab w:val="left" w:pos="720"/>
        </w:tabs>
        <w:spacing w:before="0" w:after="240" w:line="288" w:lineRule="auto"/>
        <w:ind w:left="1440" w:right="0" w:hanging="144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State any exceptions here:</w:t>
      </w:r>
    </w:p>
    <w:tbl>
      <w:tblPr>
        <w:tblW w:w="8640" w:type="dxa"/>
        <w:jc w:val="lef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8640"/>
      </w:tblGrid>
      <w:tr>
        <w:tblPrEx>
          <w:tblW w:w="8640" w:type="dxa"/>
          <w:tblInd w:w="828" w:type="dxa"/>
          <w:tblLayout w:type="fixed"/>
        </w:tblPrEx>
        <w:trPr>
          <w:cantSplit/>
          <w:trHeight w:hRule="auto" w:val="0"/>
        </w:trPr>
        <w:tc>
          <w:tcPr>
            <w:tcW w:w="8640" w:type="dxa"/>
            <w:tcBorders>
              <w:top w:val="nil"/>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8640" w:type="dxa"/>
          <w:tblInd w:w="828" w:type="dxa"/>
          <w:tblLayout w:type="fixed"/>
        </w:tblPrEx>
        <w:trPr>
          <w:cantSplit/>
          <w:trHeight w:hRule="auto" w:val="0"/>
        </w:trPr>
        <w:tc>
          <w:tcPr>
            <w:tcW w:w="8640" w:type="dxa"/>
            <w:tcBorders>
              <w:top w:val="single" w:sz="4" w:space="0" w:color="000000"/>
              <w:left w:val="nil"/>
              <w:bottom w:val="single" w:sz="4" w:space="0" w:color="000000"/>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r>
      <w:tr>
        <w:tblPrEx>
          <w:tblW w:w="8640" w:type="dxa"/>
          <w:tblInd w:w="828" w:type="dxa"/>
          <w:tblLayout w:type="fixed"/>
        </w:tblPrEx>
        <w:trPr>
          <w:cantSplit/>
          <w:trHeight w:hRule="auto" w:val="0"/>
        </w:trPr>
        <w:tc>
          <w:tcPr>
            <w:tcW w:w="8640" w:type="dxa"/>
            <w:tcBorders>
              <w:top w:val="single" w:sz="4" w:space="0" w:color="000000"/>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bl>
    <w:p>
      <w:pPr>
        <w:pStyle w:val="Style2"/>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The undersigned acknowledges that the Securities Act and the rules and regulation promulgated thereunder may require the undersigned to promptly notify the Company of any material inaccuracies or changes in the information provided herein that may occur subsequent to the date hereof at any time as long as the undersigned holds Registrable Securities (as defined in the Registration Rights Agreement). In the absence of any such notification, the Company shall be entitled to continue to rely on the accuracy of the information in this Notice and Questionnaire.</w:t>
      </w:r>
    </w:p>
    <w:p>
      <w:pPr>
        <w:pStyle w:val="Style2"/>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By signing below, the undersigned consents to the disclosure of the information contained herein in its answers to Items 1 through 5 and the inclusion of such information in the Registration Statement and the related prospectus and any amendments or supplements thereto.  The undersigned understands that such information will be relied upon by the Company in connection with the preparation or amendment of the Registration Statement and the related prospectus and any amendments or supplements thereto.</w:t>
      </w:r>
    </w:p>
    <w:p>
      <w:pPr>
        <w:pStyle w:val="BodyText-wk-Ex102"/>
        <w:keepNext w:val="0"/>
        <w:keepLines w:val="0"/>
        <w:pageBreakBefore w:val="0"/>
        <w:widowControl/>
        <w:numPr>
          <w:ilvl w:val="0"/>
          <w:numId w:val="0"/>
        </w:numPr>
        <w:spacing w:before="0" w:after="12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undersigned acknowledges the undersigned’s obligation to comply, and agrees that it will comply, with the provisions of the Securities Exchange Act of 1934, as amended, and the rules and regulations thereunder, particularly Regulation M, in connection with any offering of Common Stock pursuant to the Registration Statement.  </w:t>
      </w:r>
    </w:p>
    <w:p>
      <w:pPr>
        <w:pStyle w:val="BodyText-wk-Ex102"/>
        <w:keepNext w:val="0"/>
        <w:keepLines w:val="0"/>
        <w:pageBreakBefore w:val="0"/>
        <w:widowControl/>
        <w:numPr>
          <w:ilvl w:val="0"/>
          <w:numId w:val="0"/>
        </w:numPr>
        <w:spacing w:before="0" w:after="12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undersigned also hereby acknowledges and is advised of the following Compliance and Disclosure Interpretation (“CDI”) of the staff of the Division of Corporation Finance (with respect to Securities Act Sections) regarding short selling:</w:t>
      </w:r>
    </w:p>
    <w:p>
      <w:pPr>
        <w:pStyle w:val="BodyText-wk-Ex102"/>
        <w:keepNext w:val="0"/>
        <w:keepLines w:val="0"/>
        <w:pageBreakBefore w:val="0"/>
        <w:widowControl/>
        <w:numPr>
          <w:ilvl w:val="0"/>
          <w:numId w:val="0"/>
        </w:numPr>
        <w:tabs>
          <w:tab w:val="left" w:pos="720"/>
          <w:tab w:val="left" w:pos="8460"/>
        </w:tabs>
        <w:spacing w:before="0" w:after="120" w:line="288" w:lineRule="auto"/>
        <w:ind w:left="720" w:right="720" w:firstLine="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“239.10 An issuer filed a Form S-3 registration statement for a secondary offering of common stock which is not yet effective. One of the selling stockholders wanted to do a short sale of common stock “against the box” and cover the short sale with registered shares after the effective date. The issuer was advised that the short sale could not be made before the registration statement becomes effective, because the shares underlying the short sale are deemed to be sold at the time such sale is made. There would, therefore, be a violation of Section 5 if the shares were effectively sold prior to the effective date. [Nov. 26, 2008]”</w:t>
      </w:r>
    </w:p>
    <w:p>
      <w:pPr>
        <w:pStyle w:val="BodyText-wk-Ex102"/>
        <w:keepNext w:val="0"/>
        <w:keepLines w:val="0"/>
        <w:pageBreakBefore w:val="0"/>
        <w:widowControl/>
        <w:numPr>
          <w:ilvl w:val="0"/>
          <w:numId w:val="0"/>
        </w:numPr>
        <w:spacing w:before="0" w:after="120" w:line="288" w:lineRule="auto"/>
        <w:ind w:left="0" w:right="0" w:firstLine="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undersigned further acknowledges that the foregoing CDI applies to the shares of Common Stock to be registered for resale on behalf of the undersigned pursuant to the Registration Statement and to be covered by the related prospectus.  </w:t>
      </w:r>
    </w:p>
    <w:p>
      <w:pPr>
        <w:pStyle w:val="Style2"/>
        <w:keepNext w:val="0"/>
        <w:keepLines w:val="0"/>
        <w:pageBreakBefore w:val="0"/>
        <w:widowControl/>
        <w:numPr>
          <w:ilvl w:val="0"/>
          <w:numId w:val="0"/>
        </w:numPr>
        <w:spacing w:before="0" w:after="240" w:line="288" w:lineRule="auto"/>
        <w:ind w:left="0" w:right="0" w:firstLine="720"/>
        <w:jc w:val="both"/>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IN WITNESS WHEREOF the undersigned, by authority duly given, has caused this Notice and Questionnaire to be executed and delivered either in person or by its duly authorized agent.</w:t>
      </w:r>
    </w:p>
    <w:p>
      <w:pPr>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pStyle w:val="Style29"/>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 xml:space="preserve">Date: </w:t>
      </w:r>
      <w:r>
        <w:rPr>
          <w:rFonts w:ascii="Times New Roman" w:eastAsia="Times New Roman" w:hAnsi="Times New Roman" w:cs="Times New Roman"/>
          <w:b w:val="0"/>
          <w:i w:val="0"/>
          <w:color w:val="000000"/>
          <w:sz w:val="20"/>
          <w:u w:val="singl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 xml:space="preserve">Beneficial Owner: </w:t>
      </w:r>
      <w:r>
        <w:rPr>
          <w:rFonts w:ascii="Times New Roman" w:eastAsia="Times New Roman" w:hAnsi="Times New Roman" w:cs="Times New Roman"/>
          <w:b w:val="0"/>
          <w:i w:val="0"/>
          <w:color w:val="000000"/>
          <w:sz w:val="20"/>
          <w:u w:val="single"/>
        </w:rPr>
        <w:tab/>
      </w:r>
    </w:p>
    <w:p>
      <w:pPr>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pStyle w:val="Style29"/>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By:</w:t>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single"/>
        </w:rPr>
        <w:tab/>
      </w:r>
    </w:p>
    <w:p>
      <w:pPr>
        <w:pStyle w:val="Style29"/>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Name:</w:t>
      </w:r>
    </w:p>
    <w:p>
      <w:pPr>
        <w:pStyle w:val="Style29"/>
        <w:keepNext w:val="0"/>
        <w:keepLines w:val="0"/>
        <w:pageBreakBefore w:val="0"/>
        <w:widowControl/>
        <w:numPr>
          <w:ilvl w:val="0"/>
          <w:numId w:val="0"/>
        </w:numPr>
        <w:tabs>
          <w:tab w:val="left" w:pos="3600"/>
          <w:tab w:val="left" w:pos="4320"/>
          <w:tab w:val="left" w:pos="4680"/>
          <w:tab w:val="left" w:pos="9240"/>
        </w:tabs>
        <w:spacing w:before="0" w:after="0" w:line="288" w:lineRule="auto"/>
        <w:ind w:left="0" w:right="0" w:firstLine="0"/>
        <w:jc w:val="left"/>
        <w:outlineLvl w:val="9"/>
        <w:rPr>
          <w:rFonts w:ascii="Times New Roman" w:eastAsia="Times New Roman" w:hAnsi="Times New Roman" w:cs="Times New Roman"/>
          <w:b w:val="0"/>
          <w:i w:val="0"/>
          <w:color w:val="000000"/>
          <w:sz w:val="22"/>
          <w:u w:val="none"/>
        </w:rPr>
      </w:pP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ab/>
      </w:r>
      <w:r>
        <w:rPr>
          <w:rFonts w:ascii="Times New Roman" w:eastAsia="Times New Roman" w:hAnsi="Times New Roman" w:cs="Times New Roman"/>
          <w:b w:val="0"/>
          <w:i w:val="0"/>
          <w:color w:val="000000"/>
          <w:sz w:val="20"/>
          <w:u w:val="none"/>
        </w:rPr>
        <w:t>Title:</w:t>
      </w:r>
      <w:r>
        <w:rPr>
          <w:rFonts w:ascii="Times New Roman" w:eastAsia="Times New Roman" w:hAnsi="Times New Roman" w:cs="Times New Roman"/>
          <w:b w:val="0"/>
          <w:i w:val="0"/>
          <w:color w:val="000000"/>
          <w:sz w:val="20"/>
          <w:u w:val="none"/>
        </w:rPr>
        <w:tab/>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val="0"/>
        <w:keepLines w:val="0"/>
        <w:pageBreakBefore w:val="0"/>
        <w:widowControl/>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val="0"/>
        <w:pageBreakBefore w:val="0"/>
        <w:widowControl/>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i w:val="0"/>
          <w:sz w:val="20"/>
        </w:rPr>
        <w:t>PLEASE EMAIL A .PDF COPY OF THE COMPLETED AND EXECUTED NOTICE AND QUESTIONNAIRE TO:</w:t>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pStyle w:val="Style23"/>
        <w:keepNext w:val="0"/>
        <w:keepLines w:val="0"/>
        <w:pageBreakBefore w:val="0"/>
        <w:widowControl/>
        <w:numPr>
          <w:ilvl w:val="0"/>
          <w:numId w:val="0"/>
        </w:numPr>
        <w:spacing w:before="0" w:after="0" w:line="288" w:lineRule="auto"/>
        <w:ind w:left="720" w:right="0" w:hanging="72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[Name]</w:t>
      </w:r>
    </w:p>
    <w:p>
      <w:pPr>
        <w:pStyle w:val="Style23"/>
        <w:keepNext w:val="0"/>
        <w:keepLines w:val="0"/>
        <w:pageBreakBefore w:val="0"/>
        <w:widowControl/>
        <w:numPr>
          <w:ilvl w:val="0"/>
          <w:numId w:val="0"/>
        </w:numPr>
        <w:spacing w:before="0" w:after="0" w:line="288" w:lineRule="auto"/>
        <w:ind w:left="720" w:right="0" w:hanging="720"/>
        <w:jc w:val="both"/>
        <w:outlineLvl w:val="9"/>
        <w:rPr>
          <w:rFonts w:ascii="Times New Roman" w:eastAsia="Times New Roman" w:hAnsi="Times New Roman" w:cs="Times New Roman"/>
          <w:b w:val="0"/>
          <w:i w:val="0"/>
          <w:color w:val="000000"/>
          <w:sz w:val="24"/>
          <w:u w:val="none"/>
        </w:rPr>
      </w:pPr>
      <w:r>
        <w:rPr>
          <w:rFonts w:ascii="Times New Roman" w:eastAsia="Times New Roman" w:hAnsi="Times New Roman" w:cs="Times New Roman"/>
          <w:b w:val="0"/>
          <w:i w:val="0"/>
          <w:color w:val="000000"/>
          <w:sz w:val="20"/>
          <w:u w:val="none"/>
        </w:rPr>
        <w:t>[Title]</w:t>
      </w:r>
    </w:p>
    <w:p>
      <w:pPr>
        <w:keepNext w:val="0"/>
        <w:keepLines w:val="0"/>
        <w:pageBreakBefore w:val="0"/>
        <w:widowControl/>
        <w:numPr>
          <w:ilvl w:val="0"/>
          <w:numId w:val="0"/>
        </w:numPr>
        <w:spacing w:before="0" w:after="240" w:line="288" w:lineRule="auto"/>
        <w:ind w:left="0" w:right="0" w:firstLine="0"/>
        <w:jc w:val="both"/>
        <w:outlineLvl w:val="9"/>
        <w:rPr>
          <w:rFonts w:ascii="Times New Roman" w:eastAsia="Times New Roman" w:hAnsi="Times New Roman" w:cs="Times New Roman"/>
          <w:b w:val="0"/>
          <w:i w:val="0"/>
          <w:color w:val="000000"/>
          <w:sz w:val="20"/>
          <w:u w:val="none"/>
        </w:rPr>
        <w:sectPr>
          <w:pgSz w:w="12240" w:h="15840"/>
          <w:pgMar w:top="1440" w:right="1440" w:bottom="1440" w:left="1440" w:header="0" w:footer="720" w:gutter="0"/>
          <w:cols w:space="720"/>
        </w:sectPr>
      </w:pPr>
      <w:r>
        <w:rPr>
          <w:rFonts w:ascii="Times New Roman" w:eastAsia="Times New Roman" w:hAnsi="Times New Roman" w:cs="Times New Roman"/>
          <w:b w:val="0"/>
          <w:i w:val="0"/>
          <w:sz w:val="20"/>
        </w:rPr>
        <w:t>[Email]</w:t>
      </w:r>
    </w:p>
    <w:p>
      <w:pPr>
        <w:jc w:val="right"/>
      </w:pPr>
      <w:r>
        <w:rPr>
          <w:b/>
        </w:rPr>
        <w:t>Exhibit 99.1</w:t>
      </w:r>
    </w:p>
    <w:p/>
    <w:p w:rsidR="00A77B3E">
      <w:pPr>
        <w:keepNext w:val="0"/>
        <w:keepLines w:val="0"/>
        <w:pageBreakBefore w:val="0"/>
        <w:widowControl/>
        <w:numPr>
          <w:ilvl w:val="0"/>
          <w:numId w:val="0"/>
        </w:numPr>
        <w:tabs>
          <w:tab w:val="left" w:pos="7620"/>
        </w:tabs>
        <w:spacing w:before="0" w:after="0" w:line="288" w:lineRule="auto"/>
        <w:ind w:left="152" w:right="0" w:firstLine="0"/>
        <w:jc w:val="left"/>
        <w:outlineLvl w:val="9"/>
        <w:rPr>
          <w:rFonts w:ascii="Calibri" w:eastAsia="Calibri" w:hAnsi="Calibri" w:cs="Calibri"/>
          <w:b w:val="0"/>
          <w:i w:val="0"/>
          <w:sz w:val="22"/>
        </w:rPr>
      </w:pPr>
      <w:bookmarkStart w:id="17" w:name="Section1"/>
      <w:bookmarkEnd w:id="17"/>
      <w:r>
        <w:rPr>
          <w:rFonts w:ascii="Times New Roman" w:eastAsia="Times New Roman" w:hAnsi="Times New Roman" w:cs="Times New Roman"/>
          <w:b w:val="0"/>
          <w:i w:val="0"/>
          <w:sz w:val="20"/>
        </w:rPr>
        <w:tab/>
      </w:r>
    </w:p>
    <w:p w:rsidR="00A77B3E">
      <w:pPr>
        <w:keepNext w:val="0"/>
        <w:keepLines w:val="0"/>
        <w:pageBreakBefore w:val="0"/>
        <w:widowControl/>
        <w:numPr>
          <w:ilvl w:val="0"/>
          <w:numId w:val="0"/>
        </w:numPr>
        <w:spacing w:before="11" w:after="0" w:line="288" w:lineRule="auto"/>
        <w:ind w:left="0" w:right="0" w:firstLine="0"/>
        <w:jc w:val="left"/>
        <w:outlineLvl w:val="9"/>
        <w:rPr>
          <w:rFonts w:ascii="Calibri" w:eastAsia="Calibri" w:hAnsi="Calibri" w:cs="Calibri"/>
          <w:b w:val="0"/>
          <w:i/>
          <w:color w:val="000000"/>
          <w:sz w:val="20"/>
          <w:u w:val="none"/>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05pt;height:102.05pt">
            <v:imagedata r:id="rId32" o:title=""/>
            <o:lock v:ext="edit" aspectratio="t"/>
          </v:shape>
        </w:pict>
      </w:r>
    </w:p>
    <w:p w:rsidR="00A77B3E">
      <w:pPr>
        <w:keepNext w:val="0"/>
        <w:keepLines w:val="0"/>
        <w:pageBreakBefore w:val="0"/>
        <w:widowControl/>
        <w:numPr>
          <w:ilvl w:val="0"/>
          <w:numId w:val="0"/>
        </w:numPr>
        <w:spacing w:before="11" w:after="0" w:line="288" w:lineRule="auto"/>
        <w:ind w:left="0" w:right="0" w:firstLine="0"/>
        <w:jc w:val="center"/>
        <w:outlineLvl w:val="9"/>
        <w:rPr>
          <w:rFonts w:ascii="Calibri" w:eastAsia="Calibri" w:hAnsi="Calibri" w:cs="Calibri"/>
          <w:b w:val="0"/>
          <w:i/>
          <w:color w:val="000000"/>
          <w:sz w:val="36"/>
          <w:u w:val="none"/>
        </w:rPr>
      </w:pPr>
    </w:p>
    <w:p w:rsidR="00A77B3E">
      <w:pPr>
        <w:keepNext w:val="0"/>
        <w:keepLines w:val="0"/>
        <w:pageBreakBefore w:val="0"/>
        <w:widowControl/>
        <w:numPr>
          <w:ilvl w:val="0"/>
          <w:numId w:val="0"/>
        </w:numPr>
        <w:spacing w:before="11" w:after="0" w:line="288" w:lineRule="auto"/>
        <w:ind w:left="0" w:right="0" w:firstLine="0"/>
        <w:jc w:val="center"/>
        <w:outlineLvl w:val="9"/>
        <w:rPr>
          <w:rFonts w:ascii="Calibri" w:eastAsia="Calibri" w:hAnsi="Calibri" w:cs="Calibri"/>
          <w:b w:val="0"/>
          <w:i/>
          <w:color w:val="000000"/>
          <w:sz w:val="36"/>
          <w:u w:val="none"/>
        </w:rPr>
      </w:pPr>
    </w:p>
    <w:p w:rsidR="00A77B3E">
      <w:pPr>
        <w:pStyle w:val="BodyText-wk-Ex991"/>
        <w:keepNext w:val="0"/>
        <w:keepLines w:val="0"/>
        <w:pageBreakBefore w:val="0"/>
        <w:widowControl/>
        <w:numPr>
          <w:ilvl w:val="0"/>
          <w:numId w:val="0"/>
        </w:numPr>
        <w:spacing w:before="11" w:after="0" w:line="300" w:lineRule="auto"/>
        <w:ind w:left="0" w:right="0" w:firstLine="0"/>
        <w:jc w:val="center"/>
        <w:outlineLvl w:val="0"/>
        <w:rPr>
          <w:rFonts w:ascii="Calibri" w:eastAsia="Calibri" w:hAnsi="Calibri" w:cs="Calibri"/>
          <w:b w:val="0"/>
          <w:i/>
          <w:color w:val="000000"/>
          <w:sz w:val="18"/>
          <w:u w:val="none"/>
        </w:rPr>
      </w:pPr>
      <w:r>
        <w:rPr>
          <w:rFonts w:ascii="Century Gothic" w:eastAsia="Century Gothic" w:hAnsi="Century Gothic" w:cs="Century Gothic"/>
          <w:b/>
          <w:i/>
          <w:color w:val="444444"/>
          <w:sz w:val="36"/>
          <w:u w:val="none"/>
        </w:rPr>
        <w:t xml:space="preserve">NN, Inc. Announces $50 Million </w:t>
      </w:r>
    </w:p>
    <w:p w:rsidR="00A77B3E">
      <w:pPr>
        <w:pStyle w:val="BodyText-wk-Ex991"/>
        <w:keepNext w:val="0"/>
        <w:keepLines w:val="0"/>
        <w:pageBreakBefore w:val="0"/>
        <w:widowControl/>
        <w:numPr>
          <w:ilvl w:val="0"/>
          <w:numId w:val="0"/>
        </w:numPr>
        <w:spacing w:before="11" w:after="0" w:line="300" w:lineRule="auto"/>
        <w:ind w:left="0" w:right="0" w:firstLine="0"/>
        <w:jc w:val="center"/>
        <w:outlineLvl w:val="9"/>
        <w:rPr>
          <w:rFonts w:ascii="Calibri" w:eastAsia="Calibri" w:hAnsi="Calibri" w:cs="Calibri"/>
          <w:b w:val="0"/>
          <w:i/>
          <w:color w:val="000000"/>
          <w:sz w:val="18"/>
          <w:u w:val="none"/>
        </w:rPr>
      </w:pPr>
      <w:r>
        <w:rPr>
          <w:rFonts w:ascii="Century Gothic" w:eastAsia="Century Gothic" w:hAnsi="Century Gothic" w:cs="Century Gothic"/>
          <w:b/>
          <w:i/>
          <w:color w:val="444444"/>
          <w:sz w:val="36"/>
          <w:u w:val="none"/>
        </w:rPr>
        <w:t>Net Private Placement of Common Stock and Pre-Funded Warrants</w:t>
      </w:r>
    </w:p>
    <w:p w:rsidR="00A77B3E">
      <w:pPr>
        <w:keepNext w:val="0"/>
        <w:keepLines w:val="0"/>
        <w:pageBreakBefore w:val="0"/>
        <w:widowControl/>
        <w:numPr>
          <w:ilvl w:val="0"/>
          <w:numId w:val="0"/>
        </w:numPr>
        <w:spacing w:before="11" w:after="0" w:line="300" w:lineRule="auto"/>
        <w:ind w:left="0" w:right="0" w:firstLine="0"/>
        <w:jc w:val="center"/>
        <w:outlineLvl w:val="9"/>
        <w:rPr>
          <w:rFonts w:ascii="Calibri" w:eastAsia="Calibri" w:hAnsi="Calibri" w:cs="Calibri"/>
          <w:b w:val="0"/>
          <w:i/>
          <w:color w:val="000000"/>
          <w:sz w:val="28"/>
          <w:u w:val="none"/>
        </w:rPr>
      </w:pPr>
    </w:p>
    <w:p w:rsidR="00A77B3E">
      <w:pPr>
        <w:pStyle w:val="BodyText-wk-Ex991"/>
        <w:keepNext w:val="0"/>
        <w:keepLines w:val="0"/>
        <w:pageBreakBefore w:val="0"/>
        <w:widowControl/>
        <w:numPr>
          <w:ilvl w:val="0"/>
          <w:numId w:val="0"/>
        </w:numPr>
        <w:spacing w:before="11" w:after="0" w:line="300" w:lineRule="auto"/>
        <w:ind w:left="0" w:right="0" w:firstLine="0"/>
        <w:jc w:val="center"/>
        <w:outlineLvl w:val="9"/>
        <w:rPr>
          <w:rFonts w:ascii="Calibri" w:eastAsia="Calibri" w:hAnsi="Calibri" w:cs="Calibri"/>
          <w:b w:val="0"/>
          <w:i/>
          <w:color w:val="000000"/>
          <w:sz w:val="18"/>
          <w:u w:val="none"/>
        </w:rPr>
      </w:pPr>
      <w:r>
        <w:rPr>
          <w:rFonts w:ascii="Century Gothic" w:eastAsia="Century Gothic" w:hAnsi="Century Gothic" w:cs="Century Gothic"/>
          <w:b/>
          <w:i/>
          <w:color w:val="444444"/>
          <w:sz w:val="24"/>
          <w:u w:val="none"/>
        </w:rPr>
        <w:t>Capital will be used to eliminate all of its preferred stock and to support business growth</w:t>
      </w:r>
    </w:p>
    <w:p w:rsidR="00A77B3E">
      <w:pPr>
        <w:keepNext w:val="0"/>
        <w:keepLines w:val="0"/>
        <w:pageBreakBefore w:val="0"/>
        <w:widowControl/>
        <w:numPr>
          <w:ilvl w:val="0"/>
          <w:numId w:val="0"/>
        </w:numPr>
        <w:spacing w:before="11" w:after="0" w:line="288" w:lineRule="auto"/>
        <w:ind w:left="0" w:right="0" w:firstLine="0"/>
        <w:jc w:val="left"/>
        <w:outlineLvl w:val="9"/>
        <w:rPr>
          <w:rFonts w:ascii="Calibri" w:eastAsia="Calibri" w:hAnsi="Calibri" w:cs="Calibri"/>
          <w:b w:val="0"/>
          <w:i/>
          <w:color w:val="000000"/>
          <w:sz w:val="36"/>
          <w:u w:val="none"/>
        </w:rPr>
      </w:pPr>
    </w:p>
    <w:p w:rsidR="00A77B3E">
      <w:pPr>
        <w:pStyle w:val="Heading1-wk"/>
        <w:keepNext w:val="0"/>
        <w:keepLines w:val="0"/>
        <w:pageBreakBefore w:val="0"/>
        <w:widowControl/>
        <w:numPr>
          <w:ilvl w:val="0"/>
          <w:numId w:val="0"/>
        </w:numPr>
        <w:spacing w:before="0" w:after="0" w:line="288" w:lineRule="auto"/>
        <w:ind w:left="0" w:right="0" w:firstLine="0"/>
        <w:jc w:val="left"/>
        <w:outlineLvl w:val="9"/>
        <w:rPr>
          <w:rFonts w:ascii="Calibri" w:eastAsia="Calibri" w:hAnsi="Calibri" w:cs="Calibri"/>
          <w:b/>
          <w:i w:val="0"/>
          <w:color w:val="000000"/>
          <w:sz w:val="22"/>
          <w:u w:val="none"/>
        </w:rPr>
      </w:pPr>
      <w:r>
        <w:rPr>
          <w:rFonts w:ascii="Arial" w:eastAsia="Arial" w:hAnsi="Arial" w:cs="Arial"/>
          <w:b/>
          <w:i w:val="0"/>
          <w:color w:val="000000"/>
          <w:sz w:val="21"/>
          <w:u w:val="none"/>
        </w:rPr>
        <w:t>FOR IMMEDIATE RELEASE</w:t>
      </w:r>
    </w:p>
    <w:p w:rsidR="00A77B3E">
      <w:pPr>
        <w:keepNext w:val="0"/>
        <w:keepLines w:val="0"/>
        <w:pageBreakBefore w:val="0"/>
        <w:widowControl/>
        <w:numPr>
          <w:ilvl w:val="0"/>
          <w:numId w:val="0"/>
        </w:numPr>
        <w:spacing w:before="3" w:after="0" w:line="288" w:lineRule="auto"/>
        <w:ind w:left="0" w:right="0" w:firstLine="0"/>
        <w:jc w:val="left"/>
        <w:outlineLvl w:val="9"/>
        <w:rPr>
          <w:rFonts w:ascii="Calibri" w:eastAsia="Calibri" w:hAnsi="Calibri" w:cs="Calibri"/>
          <w:b w:val="0"/>
          <w:i/>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CHARLOTTE, N.C., October 2, 2026 – NN, Inc. (“NN” or the “Company”) (NASDAQ: NNBR), a global leader in precision manufacturing, today announced it has entered into a securities purchase agreement for a private investment in public equity financing (the “PIPE”) that is expected to result in net proceeds of approximately $50 million after deducting placement agent fees and offering expenses. The PIPE is expected to close on or about October 5, 2026, subject to the satisfaction of customary closing conditions.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sz w:val="21"/>
        </w:rPr>
        <w:t>Capital Raise Overview</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 xml:space="preserve">Pursuant to the terms of the securities purchase agreement, at the closing of the PIPE, NN will issue an aggregate of 16.1 million shares of common stock (or prefunded warrants in lieu thereof) at a price of $3.30 per share (or $3.29 per pre-funded warrant). Each pre-funded warrant has an exercise price of $0.01 per share of common stock, will be immediately exercisable, subject to certain conditions set forth in each pre-funded warrant, and will not expire. </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 xml:space="preserve">There are 10 investors making this investment from a mix of both existing shareholders and new shareholders. The investment was significantly over-subscribed and allocations were made across the investor base. The capital raise was enabled by the Company’s recent increase of its authorized common stock achieved via shareholder vote. </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sz w:val="21"/>
        </w:rPr>
        <w:t>Use of Proceeds and Update</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color w:val="000000"/>
          <w:sz w:val="21"/>
          <w:u w:val="single"/>
        </w:rPr>
        <w:t>Preferred Stock Elimination and Deleverage</w:t>
      </w:r>
      <w:r>
        <w:rPr>
          <w:rFonts w:ascii="Arial" w:eastAsia="Arial" w:hAnsi="Arial" w:cs="Arial"/>
          <w:b w:val="0"/>
          <w:i w:val="0"/>
          <w:sz w:val="21"/>
        </w:rPr>
        <w:t xml:space="preserve"> - NN will use the majority of the net proceeds from this capital raise for the final redemption and complete elimination of the Company’s remaining Series D Preferred Stock held by investment funds managed by Morgan Stanley Tactical Value funds. This preferred stock arrangement was entered into over 5 years ago. With this anticipated action, NN will have eliminated all of its dilutive equity securities in the last 3 months. Additionally, the Company has now achieved a cashflow balance for servicing its debt on an on-going basis and lowered its leverage on a pro-forma basis.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color w:val="000000"/>
          <w:sz w:val="21"/>
          <w:u w:val="single"/>
        </w:rPr>
        <w:t>Fund Existing Business Growth and Next-Gen Sales Expansion</w:t>
      </w:r>
      <w:r>
        <w:rPr>
          <w:rFonts w:ascii="Arial" w:eastAsia="Arial" w:hAnsi="Arial" w:cs="Arial"/>
          <w:b w:val="0"/>
          <w:i w:val="0"/>
          <w:sz w:val="21"/>
        </w:rPr>
        <w:t xml:space="preserve"> - NN will use the remainder of the net proceeds to fund the Company’s growth both current growth and future growth. NN is successfully growing and expanding its business consistent with its 5 Pillar growth strategy. The growth investment takes two forms – capital expenditures for new equipment for future sales and working capital for increasing current sales. </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color w:val="000000"/>
          <w:sz w:val="21"/>
          <w:u w:val="single"/>
        </w:rPr>
        <w:t>Q3 Update</w:t>
      </w:r>
      <w:r>
        <w:rPr>
          <w:rFonts w:ascii="Arial" w:eastAsia="Arial" w:hAnsi="Arial" w:cs="Arial"/>
          <w:b w:val="0"/>
          <w:i w:val="0"/>
          <w:sz w:val="21"/>
        </w:rPr>
        <w:t xml:space="preserve"> – Q3 2026 was another high sales growth quarter for NN and sales were at the highest levels in the last 8 years. New business awards are at the highest levels ever. The company has secured approximately $130 million of annual new business over the last 12 months. Additionally, after successfully launching a brand-new product line this year in liquid cooling connectors, the company is readying its entry into another brand-new product area - cable assemblies - with a new plant startup in Mexico. This new product line will further enable the company to aggressively grow sales in data center, grid, medical, defense &amp; electronics, and high value vehicle.</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 xml:space="preserve">Harold Bevis, President and CEO of NN, commented, “NN has transformed its financial profile during 2026 with strong operating performance and several capital markets actions. The Company is moving along its multi-year path. This PIPE transaction completes a significant step in our balance sheet evolution. We are eliminating the Series D preferred stock with this action and setting the Company up for its next phase of growth and common stock value increases. We have a great set of investors now and together we are committed to breakthrough, exceptional performance. Next up for NN is to refinance its high-cost Term Loan. We believe we can achieve a strong multi-million dollar cash interest reduction and further increase value for our common stock holders.” </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“NN’s key target markets of Data Center, Defense &amp; Electronics, and Medical Products are strong and we are expanding our presence in them. Through the end of September, we secured approximately $130 million of new business over the last 12 months. Our business development team is prospecting and winning new business big-time. We have won over 200 programs this year and the year is not over. Importantly, we are in full-scale launch mode to bring these new wins online and into our sales streams to further boost our sales. Our best days are before us.”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“We would like to thank our banking team, legal advisers and investors for their active leadership completing this PIPE. Lake Street Capital Markets, LLC acted as the sole placement agent for the PIPE. Dentons US LLP served as sole legal counsel to NN for the PIPE. Faegre Drinker served as counsel to the placement agent. Alpha IR served as investor relations and public communications lead for NN.”</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The securities being issued and sold in the PIPE have not been registered under the Securities Act of 1933, as amended (the “Securities Act”). Accordingly, these securities may not be offered or sold in the United States, except pursuant to an effective registration statement or an applicable exemption from the registration requirements of the Securities Act. Concurrently with the execution of the securities purchase agreement, NN and the investors named therein entered into a registration rights agreement pursuant to which NN has agreed to file a registration statement with the U.S. Securities and Exchange Commission (“SEC”) registering the resale of the shares of common stock.</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This press release shall not constitute an offer to sell or the solicitation of an offer to buy these securities, nor shall there be any sale of these securities in any state or other jurisdiction in which such offer, solicitation or sale would be unlawful prior to the registration or qualification under the securities laws of any such state or other jurisdiction.</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sz w:val="21"/>
        </w:rPr>
        <w:t>About NN, Inc.</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NN, Inc. (NASDAQ: NNBR) is an entrepreneurial manufacturing company specializing in manufacturing micron-toleranced precision metal componentry for high-growth end markets, especially Data Center, Electric Grid, Medical, Defense, and High-Value Vehicle systems. Founded in 1980, NN serves over 700 customers on 4 continents through its 2,550 person workforce operating out of 27 global plants. This footprint enables rapid innovation and global scaled solutions. For more information, visit nninc.com.</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color w:val="000000"/>
          <w:sz w:val="21"/>
          <w:highlight w:val="white"/>
          <w:u w:val="none"/>
        </w:rPr>
        <w:t>Forward Looking Statements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color w:val="000000"/>
          <w:sz w:val="21"/>
          <w:highlight w:val="white"/>
          <w:u w:val="none"/>
        </w:rPr>
        <w:t>This press release may contain forward-looking statements regarding our business, operations, and financial performance. Such statements are based on current expectations and assumptions that are subject to a number of risks and uncertainties. Actual results could differ materially. Please refer to our most recently filed Form 10-K and our Form 10-Q for the period following that Form 10-K, including the risk factors described therein. We undertake no obligation to update any forward-looking statement, except as required by law. Given these risks and uncertainties, investors are cautioned not to place undue reliance on such forward-looking statements.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101" w:right="144" w:firstLine="0"/>
        <w:jc w:val="both"/>
        <w:outlineLvl w:val="9"/>
        <w:rPr>
          <w:rFonts w:ascii="Calibri" w:eastAsia="Calibri" w:hAnsi="Calibri" w:cs="Calibri"/>
          <w:b w:val="0"/>
          <w:i w:val="0"/>
          <w:color w:val="000000"/>
          <w:sz w:val="21"/>
          <w:u w:val="none"/>
        </w:rPr>
      </w:pP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i w:val="0"/>
          <w:color w:val="000000"/>
          <w:sz w:val="21"/>
          <w:highlight w:val="white"/>
          <w:u w:val="none"/>
        </w:rPr>
        <w:t>Investor Relations:</w:t>
      </w:r>
      <w:r>
        <w:rPr>
          <w:rFonts w:ascii="Arial" w:eastAsia="Arial" w:hAnsi="Arial" w:cs="Arial"/>
          <w:b w:val="0"/>
          <w:i w:val="0"/>
          <w:color w:val="000000"/>
          <w:sz w:val="21"/>
          <w:highlight w:val="white"/>
          <w:u w:val="none"/>
        </w:rPr>
        <w:t> </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00"/>
          <w:sz w:val="21"/>
          <w:u w:val="none"/>
        </w:rPr>
        <w:t>Joe Caminiti</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FF"/>
          <w:sz w:val="21"/>
          <w:u w:val="single"/>
        </w:rPr>
        <w:t>NNBR@alpha-ir.com</w:t>
      </w:r>
      <w:r>
        <w:rPr>
          <w:rFonts w:ascii="Arial" w:eastAsia="Arial" w:hAnsi="Arial" w:cs="Arial"/>
          <w:b w:val="0"/>
          <w:i w:val="0"/>
          <w:color w:val="000000"/>
          <w:sz w:val="21"/>
          <w:u w:val="none"/>
        </w:rPr>
        <w:t>  </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00"/>
          <w:sz w:val="21"/>
          <w:u w:val="none"/>
        </w:rPr>
        <w:t>312-445-2870 </w:t>
      </w:r>
    </w:p>
    <w:p w:rsidR="00A77B3E">
      <w:pPr>
        <w:keepNext w:val="0"/>
        <w:keepLines w:val="0"/>
        <w:pageBreakBefore w:val="0"/>
        <w:widowControl/>
        <w:numPr>
          <w:ilvl w:val="0"/>
          <w:numId w:val="0"/>
        </w:numPr>
        <w:spacing w:before="0" w:after="0" w:line="288" w:lineRule="auto"/>
        <w:ind w:left="0" w:right="0" w:firstLine="0"/>
        <w:jc w:val="left"/>
        <w:outlineLvl w:val="9"/>
        <w:rPr>
          <w:rFonts w:ascii="Calibri" w:eastAsia="Calibri" w:hAnsi="Calibri" w:cs="Calibri"/>
          <w:b w:val="0"/>
          <w:i/>
          <w:color w:val="000000"/>
          <w:sz w:val="18"/>
          <w:u w:val="none"/>
        </w:rPr>
      </w:pPr>
    </w:p>
    <w:sectPr>
      <w:headerReference w:type="default" r:id="rId33"/>
      <w:footerReference w:type="default" r:id="rId34"/>
      <w:type w:val="nextPage"/>
      <w:pgSz w:w="12240" w:h="15840"/>
      <w:pgMar w:top="605" w:right="605" w:bottom="605" w:left="619" w:header="0" w:footer="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160" w:line="300" w:lineRule="auto"/>
      <w:ind w:left="0" w:right="0" w:firstLine="0"/>
      <w:jc w:val="left"/>
      <w:outlineLvl w:val="9"/>
      <w:rPr>
        <w:rFonts w:ascii="Arial" w:eastAsia="Arial" w:hAnsi="Arial" w:cs="Arial"/>
        <w:b w:val="0"/>
        <w:i w:val="0"/>
        <w:color w:val="000000"/>
        <w:sz w:val="16"/>
        <w:u w:val="none"/>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DocID"/>
      <w:keepNext w:val="0"/>
      <w:keepLines w:val="0"/>
      <w:pageBreakBefore w:val="0"/>
      <w:widowControl/>
      <w:numPr>
        <w:ilvl w:val="0"/>
        <w:numId w:val="0"/>
      </w:numPr>
      <w:spacing w:before="0" w:after="160" w:line="300" w:lineRule="auto"/>
      <w:ind w:left="0" w:right="0" w:firstLine="0"/>
      <w:jc w:val="left"/>
      <w:outlineLvl w:val="0"/>
      <w:rPr>
        <w:rFonts w:ascii="Arial" w:eastAsia="Arial" w:hAnsi="Arial" w:cs="Arial"/>
        <w:b w:val="0"/>
        <w:i w:val="0"/>
        <w:color w:val="000000"/>
        <w:sz w:val="16"/>
        <w:u w:val="none"/>
      </w:rPr>
    </w:pPr>
    <w:r>
      <w:rPr>
        <w:rFonts w:ascii="Arial" w:eastAsia="Arial" w:hAnsi="Arial" w:cs="Arial"/>
        <w:b w:val="0"/>
        <w:i w:val="0"/>
        <w:color w:val="000000"/>
        <w:sz w:val="16"/>
        <w:u w:val="none"/>
      </w:rPr>
      <w:t>DMS_US.379556386.2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1"/>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613712023"/>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29</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1"/>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533112021"/>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1</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1"/>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631807123"/>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30</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1"/>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984574553"/>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31</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1"/>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264298596"/>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33</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Ind w:w="0" w:type="dxa"/>
        <w:tblLayout w:type="fixed"/>
      </w:tblPrEx>
      <w:trPr>
        <w:cantSplit/>
        <w:trHeight w:hRule="auto" w:val="0"/>
      </w:trPr>
      <w:tc>
        <w:tcPr>
          <w:tcW w:w="9360" w:type="dxa"/>
          <w:tcBorders>
            <w:top w:val="nil"/>
            <w:left w:val="nil"/>
            <w:bottom w:val="single" w:sz="4" w:space="0" w:color="000000"/>
            <w:right w:val="nil"/>
          </w:tcBorders>
          <w:tcMar>
            <w:top w:w="0" w:type="dxa"/>
            <w:left w:w="53" w:type="dxa"/>
            <w:bottom w:w="0" w:type="dxa"/>
            <w:right w:w="53" w:type="dxa"/>
          </w:tcMar>
          <w:vAlign w:val="top"/>
        </w:tcPr>
        <w:p>
          <w:pPr>
            <w:pageBreakBefore w:val="0"/>
            <w:numPr>
              <w:ilvl w:val="0"/>
              <w:numId w:val="0"/>
            </w:numPr>
            <w:tabs>
              <w:tab w:val="center" w:pos="4720"/>
              <w:tab w:val="right" w:pos="9400"/>
            </w:tabs>
            <w:spacing w:before="43" w:after="20" w:line="288" w:lineRule="auto"/>
            <w:ind w:left="55" w:right="55" w:firstLine="0"/>
            <w:jc w:val="left"/>
            <w:outlineLvl w:val="9"/>
            <w:rPr>
              <w:rFonts w:ascii="Times New Roman" w:eastAsia="Times New Roman" w:hAnsi="Times New Roman" w:cs="Times New Roman"/>
              <w:b w:val="0"/>
              <w:i w:val="0"/>
              <w:color w:val="000000"/>
              <w:sz w:val="2"/>
              <w:u w:val="none"/>
            </w:rPr>
          </w:pP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0"/>
      </w:rPr>
    </w:pPr>
  </w:p>
  <w:p>
    <w:pPr>
      <w:pStyle w:val="Footer-wk-Ex102"/>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sdt>
      <w:sdtPr>
        <w:tag w:val="workiva.pageNumberPrefix"/>
        <w:id w:val="1789065559"/>
        <w:placeholder>
          <w:docPart w:val="DefaultPlaceholder_22675703"/>
        </w:placeholder>
        <w:showingPlcHdr/>
        <w:richText/>
      </w:sdtPr>
      <w:sdtContent>
        <w:r>
          <w:rPr>
            <w:rFonts w:ascii="Times New Roman" w:eastAsia="Times New Roman" w:hAnsi="Times New Roman" w:cs="Times New Roman"/>
            <w:b w:val="0"/>
            <w:i w:val="0"/>
            <w:color w:val="000000"/>
            <w:sz w:val="18"/>
            <w:u w:val="none"/>
          </w:rPr>
          <w:tab/>
          <w:tab/>
          <w:t xml:space="preserve">Page </w:t>
        </w:r>
      </w:sdtContent>
    </w:sdt>
    <w:r>
      <w:rPr>
        <w:rFonts w:ascii="Times New Roman" w:eastAsia="Times New Roman" w:hAnsi="Times New Roman" w:cs="Times New Roman"/>
        <w:b w:val="0"/>
        <w:i w:val="0"/>
        <w:color w:val="000000"/>
        <w:sz w:val="18"/>
        <w:u w:val="none"/>
      </w:rPr>
      <w:fldChar w:fldCharType="begin"/>
    </w:r>
    <w:r>
      <w:rPr>
        <w:rFonts w:ascii="Times New Roman" w:eastAsia="Times New Roman" w:hAnsi="Times New Roman" w:cs="Times New Roman"/>
        <w:b w:val="0"/>
        <w:i w:val="0"/>
        <w:color w:val="000000"/>
        <w:sz w:val="18"/>
        <w:u w:val="none"/>
      </w:rPr>
      <w:instrText xml:space="preserve"> PAGE </w:instrText>
    </w:r>
    <w:r>
      <w:rPr>
        <w:rFonts w:ascii="Times New Roman" w:eastAsia="Times New Roman" w:hAnsi="Times New Roman" w:cs="Times New Roman"/>
        <w:b w:val="0"/>
        <w:i w:val="0"/>
        <w:color w:val="000000"/>
        <w:sz w:val="18"/>
        <w:u w:val="none"/>
      </w:rPr>
      <w:fldChar w:fldCharType="separate"/>
    </w:r>
    <w:r>
      <w:rPr>
        <w:rFonts w:ascii="Times New Roman" w:eastAsia="Times New Roman" w:hAnsi="Times New Roman" w:cs="Times New Roman"/>
        <w:b w:val="0"/>
        <w:i w:val="0"/>
        <w:color w:val="000000"/>
        <w:sz w:val="18"/>
        <w:u w:val="none"/>
      </w:rPr>
      <w:t>22</w:t>
    </w:r>
    <w:r>
      <w:rPr>
        <w:rFonts w:ascii="Times New Roman" w:eastAsia="Times New Roman" w:hAnsi="Times New Roman" w:cs="Times New Roman"/>
        <w:b w:val="0"/>
        <w:i w:val="0"/>
        <w:color w:val="000000"/>
        <w:sz w:val="18"/>
        <w:u w:val="none"/>
      </w:rPr>
      <w:fldChar w:fldCharType="end"/>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Calibri" w:eastAsia="Calibri" w:hAnsi="Calibri" w:cs="Calibri"/>
        <w:b w:val="0"/>
        <w:i w:val="0"/>
        <w:color w:val="000000"/>
        <w:sz w:val="22"/>
        <w:u w:val="none"/>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200" w:line="240" w:lineRule="auto"/>
      <w:ind w:left="0" w:right="0" w:firstLine="0"/>
      <w:jc w:val="left"/>
      <w:outlineLvl w:val="9"/>
      <w:rPr>
        <w:rFonts w:ascii="Aptos" w:eastAsia="Aptos" w:hAnsi="Aptos" w:cs="Aptos"/>
        <w:b w:val="0"/>
        <w:i w:val="0"/>
        <w:sz w:val="24"/>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0"/>
      <w:rPr>
        <w:rFonts w:ascii="Aptos" w:eastAsia="Aptos" w:hAnsi="Aptos" w:cs="Aptos"/>
        <w:b w:val="0"/>
        <w:i w:val="0"/>
        <w:sz w:val="24"/>
      </w:rPr>
    </w:pPr>
    <w:r>
      <w:rPr>
        <w:rFonts w:ascii="Times New Roman" w:eastAsia="Times New Roman" w:hAnsi="Times New Roman" w:cs="Times New Roman"/>
        <w:b/>
        <w:i/>
        <w:sz w:val="20"/>
      </w:rPr>
      <w:t>Execution Version</w:t>
    </w:r>
  </w:p>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Aptos" w:eastAsia="Aptos" w:hAnsi="Aptos" w:cs="Aptos"/>
        <w:b w:val="0"/>
        <w:i w:val="0"/>
        <w:color w:val="000000"/>
        <w:sz w:val="24"/>
        <w:u w:val="none"/>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wk"/>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0"/>
      <w:rPr>
        <w:rFonts w:ascii="Times New Roman" w:eastAsia="Times New Roman" w:hAnsi="Times New Roman" w:cs="Times New Roman"/>
        <w:b w:val="0"/>
        <w:i w:val="0"/>
        <w:color w:val="000000"/>
        <w:sz w:val="20"/>
        <w:u w:val="none"/>
      </w:rPr>
    </w:pPr>
    <w:r>
      <w:rPr>
        <w:rFonts w:ascii="Times New Roman" w:eastAsia="Times New Roman" w:hAnsi="Times New Roman" w:cs="Times New Roman"/>
        <w:b/>
        <w:i/>
        <w:color w:val="000000"/>
        <w:sz w:val="20"/>
        <w:u w:val="none"/>
      </w:rPr>
      <w:t>Execution Version</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wk"/>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0"/>
      <w:rPr>
        <w:rFonts w:ascii="Times New Roman" w:eastAsia="Times New Roman" w:hAnsi="Times New Roman" w:cs="Times New Roman"/>
        <w:b w:val="0"/>
        <w:i w:val="0"/>
        <w:color w:val="000000"/>
        <w:sz w:val="20"/>
        <w:u w:val="none"/>
      </w:rPr>
    </w:pPr>
    <w:r>
      <w:rPr>
        <w:rFonts w:ascii="Times New Roman" w:eastAsia="Times New Roman" w:hAnsi="Times New Roman" w:cs="Times New Roman"/>
        <w:b/>
        <w:i/>
        <w:color w:val="000000"/>
        <w:sz w:val="20"/>
        <w:u w:val="none"/>
      </w:rPr>
      <w:t>Execution Version</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9"/>
      <w:rPr>
        <w:rFonts w:ascii="Times New Roman" w:eastAsia="Times New Roman" w:hAnsi="Times New Roman" w:cs="Times New Roman"/>
        <w:b w:val="0"/>
        <w:i w:val="0"/>
        <w:color w:val="000000"/>
        <w:sz w:val="20"/>
        <w:u w:val="none"/>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9"/>
      <w:rPr>
        <w:rFonts w:ascii="Times New Roman" w:eastAsia="Times New Roman" w:hAnsi="Times New Roman" w:cs="Times New Roman"/>
        <w:b w:val="0"/>
        <w:i w:val="0"/>
        <w:color w:val="000000"/>
        <w:sz w:val="20"/>
        <w:u w:val="none"/>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center"/>
      <w:outlineLvl w:val="9"/>
      <w:rPr>
        <w:rFonts w:ascii="Times New Roman" w:eastAsia="Times New Roman" w:hAnsi="Times New Roman" w:cs="Times New Roman"/>
        <w:b w:val="0"/>
        <w:i w:val="0"/>
        <w:color w:val="000000"/>
        <w:sz w:val="20"/>
        <w:u w:val="none"/>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wk"/>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0"/>
      <w:rPr>
        <w:rFonts w:ascii="Times New Roman" w:eastAsia="Times New Roman" w:hAnsi="Times New Roman" w:cs="Times New Roman"/>
        <w:b w:val="0"/>
        <w:i w:val="0"/>
        <w:color w:val="000000"/>
        <w:sz w:val="20"/>
        <w:u w:val="none"/>
      </w:rPr>
    </w:pPr>
    <w:r>
      <w:rPr>
        <w:rFonts w:ascii="Times New Roman" w:eastAsia="Times New Roman" w:hAnsi="Times New Roman" w:cs="Times New Roman"/>
        <w:b/>
        <w:i/>
        <w:color w:val="000000"/>
        <w:sz w:val="20"/>
        <w:u w:val="none"/>
      </w:rPr>
      <w:t>Execution Version</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right"/>
      <w:outlineLvl w:val="9"/>
      <w:rPr>
        <w:rFonts w:ascii="Times New Roman" w:eastAsia="Times New Roman" w:hAnsi="Times New Roman" w:cs="Times New Roman"/>
        <w:b w:val="0"/>
        <w:i w:val="0"/>
        <w:color w:val="000000"/>
        <w:sz w:val="20"/>
        <w:u w:val="none"/>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Calibri" w:eastAsia="Calibri" w:hAnsi="Calibri" w:cs="Calibri"/>
        <w:b w:val="0"/>
        <w:i w:val="0"/>
        <w:color w:val="000000"/>
        <w:sz w:val="22"/>
        <w:u w:val="non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3">
    <w:nsid w:val="052DE85F"/>
    <w:multiLevelType w:val="multilevel"/>
    <w:tmpl w:val="00000003"/>
    <w:lvl w:ilvl="0">
      <w:start w:val="1"/>
      <w:numFmt w:val="lowerLetter"/>
      <w:lvlText w:val="%1)"/>
      <w:lvlJc w:val="left"/>
      <w:pPr>
        <w:tabs>
          <w:tab w:val="num" w:pos="720"/>
        </w:tabs>
        <w:ind w:left="720" w:hanging="360"/>
      </w:pPr>
      <w:rPr>
        <w:rFonts w:ascii="Times New Roman" w:eastAsia="Times New Roman" w:hAnsi="Times New Roman" w:cs="Times New Roman"/>
        <w:b w:val="0"/>
        <w:i w:val="0"/>
        <w:strike w:val="0"/>
        <w:color w:val="000000"/>
        <w:sz w:val="22"/>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4">
    <w:nsid w:val="03B35E3B"/>
    <w:multiLevelType w:val="multilevel"/>
    <w:tmpl w:val="00000003"/>
    <w:lvl w:ilvl="0">
      <w:start w:val="4"/>
      <w:numFmt w:val="lowerLetter"/>
      <w:lvlText w:val="%1)"/>
      <w:lvlJc w:val="left"/>
      <w:pPr>
        <w:tabs>
          <w:tab w:val="num" w:pos="720"/>
        </w:tabs>
        <w:ind w:left="720" w:hanging="360"/>
      </w:pPr>
    </w:lvl>
    <w:lvl w:ilvl="1">
      <w:start w:val="9"/>
      <w:numFmt w:val="lowerLetter"/>
      <w:lvlText w:val="%2."/>
      <w:lvlJc w:val="left"/>
      <w:pPr>
        <w:tabs>
          <w:tab w:val="num" w:pos="1440"/>
        </w:tabs>
        <w:ind w:left="1440" w:hanging="360"/>
      </w:pPr>
      <w:rPr>
        <w:rFonts w:ascii="Times New Roman" w:eastAsia="Times New Roman" w:hAnsi="Times New Roman" w:cs="Times New Roman"/>
        <w:b w:val="0"/>
        <w:i w:val="0"/>
        <w:strike w:val="0"/>
        <w:color w:val="000000"/>
        <w:sz w:val="22"/>
        <w:u w:val="none"/>
      </w:r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5">
    <w:nsid w:val="037DDA4A"/>
    <w:multiLevelType w:val="multilevel"/>
    <w:tmpl w:val="00000004"/>
    <w:lvl w:ilvl="0">
      <w:start w:val="2"/>
      <w:numFmt w:val="lowerRoman"/>
      <w:lvlText w:val="%1."/>
      <w:lvlJc w:val="left"/>
      <w:pPr>
        <w:tabs>
          <w:tab w:val="num" w:pos="1440"/>
        </w:tabs>
        <w:ind w:left="720" w:hanging="360"/>
      </w:pPr>
      <w:rPr>
        <w:rFonts w:ascii="Times New Roman" w:eastAsia="Times New Roman" w:hAnsi="Times New Roman" w:cs="Times New Roman"/>
        <w:b w:val="0"/>
        <w:i w:val="0"/>
        <w:strike w:val="0"/>
        <w:color w:val="000000"/>
        <w:sz w:val="22"/>
        <w:u w:val="single"/>
      </w:rPr>
    </w:lvl>
    <w:lvl w:ilvl="1">
      <w:start w:val="1"/>
      <w:numFmt w:val="lowerRoman"/>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lowerRoman"/>
      <w:lvlText w:val="%4."/>
      <w:lvlJc w:val="left"/>
      <w:pPr>
        <w:tabs>
          <w:tab w:val="num" w:pos="2880"/>
        </w:tabs>
        <w:ind w:left="2880" w:hanging="360"/>
      </w:p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55EFB6A"/>
    <w:multiLevelType w:val="multilevel"/>
    <w:tmpl w:val="00000005"/>
    <w:lvl w:ilvl="0">
      <w:start w:val="1"/>
      <w:numFmt w:val="lowerLetter"/>
      <w:lvlText w:val="%1)"/>
      <w:lvlJc w:val="left"/>
      <w:pPr>
        <w:tabs>
          <w:tab w:val="num" w:pos="720"/>
        </w:tabs>
        <w:ind w:left="720" w:hanging="360"/>
      </w:pPr>
      <w:rPr>
        <w:rFonts w:ascii="Times New Roman" w:eastAsia="Times New Roman" w:hAnsi="Times New Roman" w:cs="Times New Roman"/>
        <w:b w:val="0"/>
        <w:i w:val="0"/>
        <w:strike w:val="0"/>
        <w:color w:val="000000"/>
        <w:sz w:val="22"/>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7">
    <w:nsid w:val="05A19D18"/>
    <w:multiLevelType w:val="multilevel"/>
    <w:tmpl w:val="00000006"/>
    <w:lvl w:ilvl="0">
      <w:start w:val="9"/>
      <w:numFmt w:val="lowerLetter"/>
      <w:lvlText w:val="%1."/>
      <w:lvlJc w:val="left"/>
      <w:pPr>
        <w:tabs>
          <w:tab w:val="num" w:pos="1440"/>
        </w:tabs>
        <w:ind w:left="720" w:hanging="360"/>
      </w:pPr>
      <w:rPr>
        <w:rFonts w:ascii="Times New Roman" w:eastAsia="Times New Roman" w:hAnsi="Times New Roman" w:cs="Times New Roman"/>
        <w:b w:val="0"/>
        <w:i w:val="0"/>
        <w:strike w:val="0"/>
        <w:color w:val="000000"/>
        <w:sz w:val="22"/>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8">
    <w:nsid w:val="02E7B3EF"/>
    <w:multiLevelType w:val="multilevel"/>
    <w:tmpl w:val="00000007"/>
    <w:lvl w:ilvl="0">
      <w:start w:val="2"/>
      <w:numFmt w:val="lowerRoman"/>
      <w:lvlText w:val="%1."/>
      <w:lvlJc w:val="left"/>
      <w:pPr>
        <w:tabs>
          <w:tab w:val="num" w:pos="1440"/>
        </w:tabs>
        <w:ind w:left="720" w:hanging="360"/>
      </w:pPr>
      <w:rPr>
        <w:rFonts w:ascii="Times New Roman" w:eastAsia="Times New Roman" w:hAnsi="Times New Roman" w:cs="Times New Roman"/>
        <w:b w:val="0"/>
        <w:i w:val="0"/>
        <w:strike w:val="0"/>
        <w:color w:val="000000"/>
        <w:sz w:val="22"/>
        <w:u w:val="single"/>
      </w:rPr>
    </w:lvl>
    <w:lvl w:ilvl="1">
      <w:start w:val="1"/>
      <w:numFmt w:val="lowerRoman"/>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lowerRoman"/>
      <w:lvlText w:val="%4."/>
      <w:lvlJc w:val="left"/>
      <w:pPr>
        <w:tabs>
          <w:tab w:val="num" w:pos="2880"/>
        </w:tabs>
        <w:ind w:left="2880" w:hanging="360"/>
      </w:p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nsid w:val="00750FA2"/>
    <w:multiLevelType w:val="multilevel"/>
    <w:tmpl w:val="00000008"/>
    <w:lvl w:ilvl="0">
      <w:start w:val="1"/>
      <w:numFmt w:val="lowerLetter"/>
      <w:lvlText w:val="%1)"/>
      <w:lvlJc w:val="left"/>
      <w:pPr>
        <w:tabs>
          <w:tab w:val="num" w:pos="720"/>
        </w:tabs>
        <w:ind w:left="720" w:hanging="360"/>
      </w:pPr>
      <w:rPr>
        <w:rFonts w:ascii="Times New Roman" w:eastAsia="Times New Roman" w:hAnsi="Times New Roman" w:cs="Times New Roman"/>
        <w:b w:val="0"/>
        <w:i w:val="0"/>
        <w:strike w:val="0"/>
        <w:color w:val="000000"/>
        <w:sz w:val="22"/>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0">
    <w:nsid w:val="02A3533C"/>
    <w:multiLevelType w:val="multilevel"/>
    <w:tmpl w:val="00000008"/>
    <w:lvl w:ilvl="0">
      <w:start w:val="1"/>
      <w:numFmt w:val="lowerLetter"/>
      <w:lvlText w:val="%1)"/>
      <w:lvlJc w:val="left"/>
      <w:pPr>
        <w:tabs>
          <w:tab w:val="num" w:pos="720"/>
        </w:tabs>
        <w:ind w:left="720" w:hanging="360"/>
      </w:pPr>
      <w:rPr>
        <w:rFonts w:ascii="Times New Roman" w:eastAsia="Times New Roman" w:hAnsi="Times New Roman" w:cs="Times New Roman"/>
        <w:b w:val="0"/>
        <w:i w:val="0"/>
        <w:strike w:val="0"/>
        <w:color w:val="000000"/>
        <w:sz w:val="22"/>
        <w:u w:val="none"/>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nsid w:val="032F238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color w:val="000000"/>
        <w:sz w:val="22"/>
        <w:u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180"/>
      </w:pPr>
    </w:lvl>
  </w:abstractNum>
  <w:abstractNum w:abstractNumId="12">
    <w:nsid w:val="01D2A15E"/>
    <w:multiLevelType w:val="multilevel"/>
    <w:tmpl w:val="00000003"/>
    <w:lvl w:ilvl="0">
      <w:start w:val="1"/>
      <w:numFmt w:val="upperRoman"/>
      <w:lvlText w:val="ARTICLE %1."/>
      <w:lvlJc w:val="left"/>
      <w:pPr>
        <w:tabs>
          <w:tab w:val="num" w:pos="0"/>
        </w:tabs>
        <w:ind w:left="720" w:hanging="360"/>
      </w:pPr>
      <w:rPr>
        <w:rFonts w:ascii="Times New Roman" w:eastAsia="Times New Roman" w:hAnsi="Times New Roman" w:cs="Times New Roman"/>
        <w:b/>
        <w:i w:val="0"/>
        <w:strike w:val="0"/>
        <w:color w:val="000000"/>
        <w:sz w:val="22"/>
        <w:u w:val="none"/>
      </w:rPr>
    </w:lvl>
    <w:lvl w:ilvl="1">
      <w:start w:val="1"/>
      <w:numFmt w:val="decimal"/>
      <w:isLgl/>
      <w:lvlText w:val="Section %1.%2"/>
      <w:lvlJc w:val="left"/>
      <w:pPr>
        <w:tabs>
          <w:tab w:val="num" w:pos="0"/>
        </w:tabs>
        <w:ind w:left="1440" w:hanging="360"/>
      </w:pPr>
      <w:rPr>
        <w:strike w:val="0"/>
      </w:rPr>
    </w:lvl>
    <w:lvl w:ilvl="2">
      <w:start w:val="1"/>
      <w:numFmt w:val="lowerLetter"/>
      <w:lvlText w:val="(%3)"/>
      <w:lvlJc w:val="left"/>
      <w:pPr>
        <w:tabs>
          <w:tab w:val="num" w:pos="720"/>
        </w:tabs>
        <w:ind w:left="2160" w:hanging="180"/>
      </w:pPr>
      <w:rPr>
        <w:strike w:val="0"/>
      </w:rPr>
    </w:lvl>
    <w:lvl w:ilvl="3">
      <w:start w:val="1"/>
      <w:numFmt w:val="lowerRoman"/>
      <w:lvlText w:val="(%4)"/>
      <w:lvlJc w:val="left"/>
      <w:pPr>
        <w:tabs>
          <w:tab w:val="num" w:pos="2880"/>
        </w:tabs>
        <w:ind w:left="2880" w:hanging="360"/>
      </w:pPr>
      <w:rPr>
        <w:strike w:val="0"/>
      </w:rPr>
    </w:lvl>
    <w:lvl w:ilvl="4">
      <w:start w:val="1"/>
      <w:numFmt w:val="upperLetter"/>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269718C"/>
    <w:multiLevelType w:val="multilevel"/>
    <w:tmpl w:val="00000003"/>
    <w:lvl w:ilvl="0">
      <w:start w:val="1"/>
      <w:numFmt w:val="lowerRoman"/>
      <w:lvlText w:val="%1."/>
      <w:lvlJc w:val="left"/>
      <w:pPr>
        <w:tabs>
          <w:tab w:val="num" w:pos="1487"/>
        </w:tabs>
        <w:ind w:left="720" w:hanging="360"/>
      </w:pPr>
      <w:rPr>
        <w:rFonts w:ascii="Times New Roman" w:eastAsia="Times New Roman" w:hAnsi="Times New Roman" w:cs="Times New Roman"/>
        <w:b w:val="0"/>
        <w:i w:val="0"/>
        <w:strike w:val="0"/>
        <w:color w:val="000000"/>
        <w:sz w:val="20"/>
        <w:u w:val="none"/>
      </w:rPr>
    </w:lvl>
    <w:lvl w:ilvl="1">
      <w:start w:val="1"/>
      <w:numFmt w:val="lowerRoman"/>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lowerRoman"/>
      <w:lvlText w:val="%4."/>
      <w:lvlJc w:val="left"/>
      <w:pPr>
        <w:tabs>
          <w:tab w:val="num" w:pos="2880"/>
        </w:tabs>
        <w:ind w:left="2880" w:hanging="360"/>
      </w:p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
    <w:nsid w:val="02453C25"/>
    <w:multiLevelType w:val="multilevel"/>
    <w:tmpl w:val="00000004"/>
    <w:lvl w:ilvl="0">
      <w:start w:val="1"/>
      <w:numFmt w:val="lowerRoman"/>
      <w:lvlText w:val="%1."/>
      <w:lvlJc w:val="left"/>
      <w:pPr>
        <w:tabs>
          <w:tab w:val="num" w:pos="1440"/>
        </w:tabs>
        <w:ind w:left="720" w:hanging="360"/>
      </w:pPr>
      <w:rPr>
        <w:rFonts w:ascii="Times New Roman" w:eastAsia="Times New Roman" w:hAnsi="Times New Roman" w:cs="Times New Roman"/>
        <w:b w:val="0"/>
        <w:i w:val="0"/>
        <w:strike w:val="0"/>
        <w:color w:val="000000"/>
        <w:sz w:val="20"/>
        <w:u w:val="none"/>
      </w:rPr>
    </w:lvl>
    <w:lvl w:ilvl="1">
      <w:start w:val="1"/>
      <w:numFmt w:val="lowerRoman"/>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lowerRoman"/>
      <w:lvlText w:val="%4."/>
      <w:lvlJc w:val="left"/>
      <w:pPr>
        <w:tabs>
          <w:tab w:val="num" w:pos="2880"/>
        </w:tabs>
        <w:ind w:left="2880" w:hanging="360"/>
      </w:p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5">
    <w:nsid w:val="050A637F"/>
    <w:multiLevelType w:val="multilevel"/>
    <w:tmpl w:val="00000004"/>
    <w:lvl w:ilvl="0">
      <w:start w:val="1"/>
      <w:numFmt w:val="lowerRoman"/>
      <w:lvlText w:val="%1."/>
      <w:lvlJc w:val="left"/>
      <w:pPr>
        <w:tabs>
          <w:tab w:val="num" w:pos="1440"/>
        </w:tabs>
        <w:ind w:left="720" w:hanging="360"/>
      </w:pPr>
      <w:rPr>
        <w:rFonts w:ascii="Times New Roman" w:eastAsia="Times New Roman" w:hAnsi="Times New Roman" w:cs="Times New Roman"/>
        <w:b w:val="0"/>
        <w:i w:val="0"/>
        <w:strike w:val="0"/>
        <w:color w:val="000000"/>
        <w:sz w:val="20"/>
        <w:u w:val="none"/>
      </w:rPr>
    </w:lvl>
    <w:lvl w:ilvl="1">
      <w:start w:val="1"/>
      <w:numFmt w:val="lowerRoman"/>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lowerRoman"/>
      <w:lvlText w:val="%4."/>
      <w:lvlJc w:val="left"/>
      <w:pPr>
        <w:tabs>
          <w:tab w:val="num" w:pos="2880"/>
        </w:tabs>
        <w:ind w:left="2880" w:hanging="360"/>
      </w:p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180"/>
      </w:pPr>
    </w:lvl>
  </w:abstractNum>
  <w:num w:numId="1">
    <w:abstractNumId w:val="0"/>
  </w:num>
  <w:num w:numId="2">
    <w:abstractNumId w:val="1"/>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utlinearabic">
    <w:name w:val="outline.arabic"/>
    <w:pPr>
      <w:numPr>
        <w:numId w:val="3"/>
      </w:numPr>
    </w:pPr>
  </w:style>
  <w:style w:type="paragraph" w:customStyle="1" w:styleId="Normal-wk">
    <w:name w:val="Normal-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styleId="Footer">
    <w:name w:val="footer"/>
    <w:basedOn w:val="Normal"/>
    <w:link w:val="FooterChar"/>
    <w:uiPriority w:val="99"/>
    <w:rsid w:val="000F3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DF7"/>
  </w:style>
  <w:style w:type="paragraph" w:customStyle="1" w:styleId="Footer-wk">
    <w:name w:val="Footer-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customStyle="1" w:styleId="MacPacTrailer">
    <w:name w:val="MacPac Trailer"/>
    <w:qFormat/>
    <w:pPr>
      <w:keepNext w:val="0"/>
      <w:keepLines w:val="0"/>
      <w:spacing w:before="0" w:after="0" w:line="341" w:lineRule="auto"/>
      <w:ind w:left="0" w:firstLine="0"/>
      <w:jc w:val="left"/>
    </w:pPr>
    <w:rPr>
      <w:rFonts w:ascii="Arial" w:eastAsia="Arial" w:hAnsi="Arial" w:cs="Arial"/>
      <w:b w:val="0"/>
      <w:i w:val="0"/>
      <w:color w:val="000000"/>
      <w:spacing w:val="0"/>
      <w:sz w:val="14"/>
    </w:rPr>
  </w:style>
  <w:style w:type="table" w:customStyle="1" w:styleId="TableNormal-W">
    <w:name w:val="Table Normal-W"/>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tblPr/>
  </w:style>
  <w:style w:type="character" w:styleId="LineNumber">
    <w:name w:val="line number"/>
    <w:basedOn w:val="DefaultParagraphFont"/>
    <w:uiPriority w:val="99"/>
    <w:rsid w:val="0041372D"/>
    <w:rPr>
      <w:rFonts w:ascii="Times New Roman" w:eastAsia="Times New Roman" w:hAnsi="Times New Roman" w:cs="Times New Roman"/>
      <w:sz w:val="24"/>
    </w:rPr>
  </w:style>
  <w:style w:type="paragraph" w:customStyle="1" w:styleId="BodyText-wk">
    <w:name w:val="Body Text-wk"/>
    <w:qFormat/>
    <w:pPr>
      <w:keepNext w:val="0"/>
      <w:keepLines w:val="0"/>
      <w:spacing w:before="180" w:after="180" w:line="240" w:lineRule="auto"/>
      <w:ind w:left="0" w:firstLine="0"/>
      <w:jc w:val="left"/>
    </w:pPr>
    <w:rPr>
      <w:rFonts w:ascii="Aptos" w:eastAsia="Aptos" w:hAnsi="Aptos" w:cs="Aptos"/>
      <w:b w:val="0"/>
      <w:i w:val="0"/>
      <w:color w:val="000000"/>
      <w:spacing w:val="0"/>
      <w:sz w:val="24"/>
    </w:rPr>
  </w:style>
  <w:style w:type="paragraph" w:customStyle="1" w:styleId="Compact">
    <w:name w:val="Compact"/>
    <w:qFormat/>
    <w:pPr>
      <w:keepNext w:val="0"/>
      <w:keepLines w:val="0"/>
      <w:spacing w:before="36" w:after="36" w:line="240" w:lineRule="auto"/>
      <w:ind w:left="0" w:firstLine="0"/>
      <w:jc w:val="left"/>
    </w:pPr>
    <w:rPr>
      <w:rFonts w:ascii="Aptos" w:eastAsia="Aptos" w:hAnsi="Aptos" w:cs="Aptos"/>
      <w:b w:val="0"/>
      <w:i w:val="0"/>
      <w:color w:val="000000"/>
      <w:spacing w:val="0"/>
      <w:sz w:val="24"/>
    </w:rPr>
  </w:style>
  <w:style w:type="paragraph" w:customStyle="1" w:styleId="DocID">
    <w:name w:val="DocID"/>
    <w:qFormat/>
    <w:pPr>
      <w:keepNext w:val="0"/>
      <w:keepLines w:val="0"/>
      <w:spacing w:before="0" w:after="160" w:line="300" w:lineRule="auto"/>
      <w:ind w:left="0" w:firstLine="0"/>
      <w:jc w:val="left"/>
    </w:pPr>
    <w:rPr>
      <w:rFonts w:ascii="Arial" w:eastAsia="Arial" w:hAnsi="Arial" w:cs="Arial"/>
      <w:b w:val="0"/>
      <w:i w:val="0"/>
      <w:color w:val="000000"/>
      <w:spacing w:val="0"/>
      <w:sz w:val="16"/>
    </w:rPr>
  </w:style>
  <w:style w:type="paragraph" w:customStyle="1" w:styleId="ArticleSection1">
    <w:name w:val="Article Section_1"/>
    <w:qFormat/>
    <w:pPr>
      <w:keepNext/>
      <w:keepLines w:val="0"/>
      <w:numPr>
        <w:ilvl w:val="0"/>
        <w:numId w:val="13"/>
      </w:numPr>
      <w:spacing w:before="0" w:after="120" w:line="240" w:lineRule="auto"/>
      <w:ind w:firstLine="0"/>
      <w:jc w:val="center"/>
    </w:pPr>
    <w:rPr>
      <w:rFonts w:ascii="Times New Roman" w:eastAsia="Times New Roman" w:hAnsi="Times New Roman" w:cs="Times New Roman"/>
      <w:b w:val="0"/>
      <w:i w:val="0"/>
      <w:color w:val="000000"/>
      <w:spacing w:val="0"/>
      <w:sz w:val="22"/>
    </w:rPr>
  </w:style>
  <w:style w:type="paragraph" w:customStyle="1" w:styleId="ArticleSection2">
    <w:name w:val="Article Section_2"/>
    <w:qFormat/>
    <w:pPr>
      <w:keepNext w:val="0"/>
      <w:keepLines w:val="0"/>
      <w:numPr>
        <w:ilvl w:val="1"/>
        <w:numId w:val="13"/>
      </w:numPr>
      <w:spacing w:before="0" w:after="120" w:line="240" w:lineRule="auto"/>
      <w:ind w:firstLine="720"/>
      <w:jc w:val="left"/>
    </w:pPr>
    <w:rPr>
      <w:rFonts w:ascii="Times New Roman" w:eastAsia="Times New Roman" w:hAnsi="Times New Roman" w:cs="Times New Roman"/>
      <w:b w:val="0"/>
      <w:i w:val="0"/>
      <w:color w:val="000000"/>
      <w:spacing w:val="0"/>
      <w:sz w:val="22"/>
    </w:rPr>
  </w:style>
  <w:style w:type="paragraph" w:customStyle="1" w:styleId="ArticleSection3">
    <w:name w:val="Article Section_3"/>
    <w:qFormat/>
    <w:pPr>
      <w:keepNext w:val="0"/>
      <w:keepLines w:val="0"/>
      <w:numPr>
        <w:ilvl w:val="2"/>
        <w:numId w:val="13"/>
      </w:numPr>
      <w:spacing w:before="0" w:after="120" w:line="240" w:lineRule="auto"/>
      <w:ind w:left="3060" w:firstLine="720"/>
      <w:jc w:val="left"/>
    </w:pPr>
    <w:rPr>
      <w:rFonts w:ascii="Times New Roman" w:eastAsia="Times New Roman" w:hAnsi="Times New Roman" w:cs="Times New Roman"/>
      <w:b w:val="0"/>
      <w:i w:val="0"/>
      <w:color w:val="000000"/>
      <w:spacing w:val="0"/>
      <w:sz w:val="22"/>
    </w:rPr>
  </w:style>
  <w:style w:type="paragraph" w:customStyle="1" w:styleId="ArticleSection4">
    <w:name w:val="Article Section_4"/>
    <w:qFormat/>
    <w:pPr>
      <w:keepNext w:val="0"/>
      <w:keepLines w:val="0"/>
      <w:numPr>
        <w:ilvl w:val="3"/>
        <w:numId w:val="13"/>
      </w:numPr>
      <w:spacing w:before="0" w:after="120" w:line="240" w:lineRule="auto"/>
      <w:ind w:left="3240" w:hanging="720"/>
      <w:jc w:val="left"/>
    </w:pPr>
    <w:rPr>
      <w:rFonts w:ascii="Times New Roman" w:eastAsia="Times New Roman" w:hAnsi="Times New Roman" w:cs="Times New Roman"/>
      <w:b w:val="0"/>
      <w:i w:val="0"/>
      <w:color w:val="000000"/>
      <w:spacing w:val="0"/>
      <w:sz w:val="22"/>
    </w:rPr>
  </w:style>
  <w:style w:type="paragraph" w:customStyle="1" w:styleId="Footer-wk-Ex101">
    <w:name w:val="Footer-wk Ex101"/>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style>
  <w:style w:type="paragraph" w:customStyle="1" w:styleId="Header-wk">
    <w:name w:val="Header-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style>
  <w:style w:type="paragraph" w:customStyle="1" w:styleId="ListParagraph-wk">
    <w:name w:val="List Paragraph-wk"/>
    <w:qFormat/>
    <w:pPr>
      <w:keepNext w:val="0"/>
      <w:keepLines w:val="0"/>
      <w:spacing w:before="0" w:after="0" w:line="240" w:lineRule="auto"/>
      <w:ind w:left="720" w:firstLine="0"/>
      <w:jc w:val="left"/>
    </w:pPr>
    <w:rPr>
      <w:rFonts w:ascii="Times New Roman" w:eastAsia="Times New Roman" w:hAnsi="Times New Roman" w:cs="Times New Roman"/>
      <w:b w:val="0"/>
      <w:i w:val="0"/>
      <w:color w:val="000000"/>
      <w:spacing w:val="0"/>
      <w:sz w:val="20"/>
    </w:rPr>
  </w:style>
  <w:style w:type="paragraph" w:customStyle="1" w:styleId="Style28">
    <w:name w:val="Style 28"/>
    <w:qFormat/>
    <w:pPr>
      <w:keepNext w:val="0"/>
      <w:keepLines w:val="0"/>
      <w:spacing w:before="0" w:after="240" w:line="240" w:lineRule="auto"/>
      <w:ind w:left="1440" w:hanging="1440"/>
      <w:jc w:val="left"/>
    </w:pPr>
    <w:rPr>
      <w:rFonts w:ascii="Times New Roman" w:eastAsia="Times New Roman" w:hAnsi="Times New Roman" w:cs="Times New Roman"/>
      <w:b w:val="0"/>
      <w:i w:val="0"/>
      <w:color w:val="000000"/>
      <w:spacing w:val="0"/>
      <w:sz w:val="22"/>
    </w:rPr>
  </w:style>
  <w:style w:type="paragraph" w:customStyle="1" w:styleId="Style6">
    <w:name w:val="Style 6"/>
    <w:qFormat/>
    <w:pPr>
      <w:keepNext w:val="0"/>
      <w:keepLines w:val="0"/>
      <w:spacing w:before="0" w:after="240" w:line="240" w:lineRule="auto"/>
      <w:ind w:left="720" w:firstLine="0"/>
      <w:jc w:val="left"/>
    </w:pPr>
    <w:rPr>
      <w:rFonts w:ascii="Times New Roman" w:eastAsia="Times New Roman" w:hAnsi="Times New Roman" w:cs="Times New Roman"/>
      <w:b w:val="0"/>
      <w:i w:val="0"/>
      <w:color w:val="000000"/>
      <w:spacing w:val="0"/>
      <w:sz w:val="24"/>
    </w:rPr>
  </w:style>
  <w:style w:type="paragraph" w:customStyle="1" w:styleId="Style2">
    <w:name w:val="Style 2"/>
    <w:qFormat/>
    <w:pPr>
      <w:keepNext w:val="0"/>
      <w:keepLines w:val="0"/>
      <w:spacing w:before="0" w:after="240" w:line="240" w:lineRule="auto"/>
      <w:ind w:left="0" w:firstLine="0"/>
      <w:jc w:val="left"/>
    </w:pPr>
    <w:rPr>
      <w:rFonts w:ascii="Times New Roman" w:eastAsia="Times New Roman" w:hAnsi="Times New Roman" w:cs="Times New Roman"/>
      <w:b w:val="0"/>
      <w:i w:val="0"/>
      <w:color w:val="000000"/>
      <w:spacing w:val="0"/>
      <w:sz w:val="22"/>
    </w:rPr>
  </w:style>
  <w:style w:type="paragraph" w:customStyle="1" w:styleId="BodyText-wk-Ex102">
    <w:name w:val="Body Text-wk Ex102"/>
    <w:qFormat/>
    <w:pPr>
      <w:keepNext w:val="0"/>
      <w:keepLines w:val="0"/>
      <w:spacing w:before="0" w:after="120" w:line="240" w:lineRule="auto"/>
      <w:ind w:left="0" w:firstLine="0"/>
      <w:jc w:val="left"/>
    </w:pPr>
    <w:rPr>
      <w:rFonts w:ascii="Times New Roman" w:eastAsia="Times New Roman" w:hAnsi="Times New Roman" w:cs="Times New Roman"/>
      <w:b w:val="0"/>
      <w:i w:val="0"/>
      <w:color w:val="000000"/>
      <w:spacing w:val="0"/>
      <w:sz w:val="20"/>
    </w:rPr>
  </w:style>
  <w:style w:type="paragraph" w:customStyle="1" w:styleId="Style29">
    <w:name w:val="Style 29"/>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2"/>
    </w:rPr>
  </w:style>
  <w:style w:type="paragraph" w:customStyle="1" w:styleId="Style23">
    <w:name w:val="Style 23"/>
    <w:qFormat/>
    <w:pPr>
      <w:keepNext w:val="0"/>
      <w:keepLines w:val="0"/>
      <w:spacing w:before="0" w:after="240" w:line="240" w:lineRule="auto"/>
      <w:ind w:left="720" w:hanging="720"/>
      <w:jc w:val="left"/>
    </w:pPr>
    <w:rPr>
      <w:rFonts w:ascii="Times New Roman" w:eastAsia="Times New Roman" w:hAnsi="Times New Roman" w:cs="Times New Roman"/>
      <w:b w:val="0"/>
      <w:i w:val="0"/>
      <w:color w:val="000000"/>
      <w:spacing w:val="0"/>
      <w:sz w:val="24"/>
    </w:rPr>
  </w:style>
  <w:style w:type="paragraph" w:customStyle="1" w:styleId="Footer-wk-Ex102">
    <w:name w:val="Footer-wk Ex102"/>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style>
  <w:style w:type="paragraph" w:customStyle="1" w:styleId="BodyText-wk-Ex991">
    <w:name w:val="Body Text-wk Ex991"/>
    <w:qFormat/>
    <w:pPr>
      <w:keepNext w:val="0"/>
      <w:keepLines w:val="0"/>
      <w:spacing w:before="0" w:after="0" w:line="240" w:lineRule="auto"/>
      <w:ind w:left="0" w:firstLine="0"/>
      <w:jc w:val="left"/>
    </w:pPr>
    <w:rPr>
      <w:rFonts w:ascii="Calibri" w:eastAsia="Calibri" w:hAnsi="Calibri" w:cs="Calibri"/>
      <w:b w:val="0"/>
      <w:i/>
      <w:color w:val="000000"/>
      <w:spacing w:val="0"/>
      <w:sz w:val="18"/>
    </w:rPr>
  </w:style>
  <w:style w:type="paragraph" w:customStyle="1" w:styleId="Heading1-wk">
    <w:name w:val="Heading 1-wk"/>
    <w:qFormat/>
    <w:pPr>
      <w:keepNext w:val="0"/>
      <w:keepLines w:val="0"/>
      <w:spacing w:before="0" w:after="0" w:line="240" w:lineRule="auto"/>
      <w:ind w:left="100" w:firstLine="0"/>
      <w:jc w:val="left"/>
    </w:pPr>
    <w:rPr>
      <w:rFonts w:ascii="Calibri" w:eastAsia="Calibri" w:hAnsi="Calibri" w:cs="Calibri"/>
      <w:b/>
      <w:i w:val="0"/>
      <w:color w:val="000000"/>
      <w:spacing w:val="0"/>
      <w:sz w:val="22"/>
    </w:rPr>
  </w:style>
  <w:style w:type="paragraph" w:customStyle="1" w:styleId="paragraph">
    <w:name w:val="paragraph"/>
    <w:qFormat/>
    <w:pPr>
      <w:keepNext w:val="0"/>
      <w:keepLines w:val="0"/>
      <w:spacing w:before="100" w:after="100" w:line="240" w:lineRule="auto"/>
      <w:ind w:left="0" w:firstLine="0"/>
      <w:jc w:val="left"/>
    </w:pPr>
    <w:rPr>
      <w:rFonts w:ascii="Times New Roman" w:eastAsia="Times New Roman" w:hAnsi="Times New Roman" w:cs="Times New Roman"/>
      <w:b w:val="0"/>
      <w:i w:val="0"/>
      <w:color w:val="000000"/>
      <w:spacing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hyperlink" Target="wurl://docs.v1/doc:fab75b455864413c8eae45643f88efd2" TargetMode="External"/><Relationship Id="rId11" Type="http://schemas.openxmlformats.org/officeDocument/2006/relationships/hyperlink" Target="wurl://docs.v1/doc:5b80a68204584e338542495531d04911" TargetMode="External"/><Relationship Id="rId12" Type="http://schemas.openxmlformats.org/officeDocument/2006/relationships/theme" Target="theme/theme1.xml"/><Relationship Id="rId13" Type="http://schemas.openxmlformats.org/officeDocument/2006/relationships/numbering" Target="numbering.xml"/><Relationship Id="rId14"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yperlink" Target="wurl://docs.v1/doc:f278aff92e2a4b39b23683e031a4ce06" TargetMode="External"/><Relationship Id="rId9" Type="http://schemas.openxmlformats.org/officeDocument/2006/relationships/hyperlink" Target="wurl://docs.v1/doc:3fd432559ee64579a672939c9638d3f3" TargetMode="External"/><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header" Target="header4.xml"/><Relationship Id="rId18" Type="http://schemas.openxmlformats.org/officeDocument/2006/relationships/footer" Target="footer3.xml"/><Relationship Id="rId19" Type="http://schemas.openxmlformats.org/officeDocument/2006/relationships/header" Target="header5.xml"/><Relationship Id="rId20" Type="http://schemas.openxmlformats.org/officeDocument/2006/relationships/footer" Target="footer4.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header" Target="header7.xml"/><Relationship Id="rId24" Type="http://schemas.openxmlformats.org/officeDocument/2006/relationships/footer" Target="footer6.xml"/><Relationship Id="rId25" Type="http://schemas.openxmlformats.org/officeDocument/2006/relationships/header" Target="header8.xml"/><Relationship Id="rId26" Type="http://schemas.openxmlformats.org/officeDocument/2006/relationships/footer" Target="footer7.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header" Target="header10.xml"/><Relationship Id="rId30" Type="http://schemas.openxmlformats.org/officeDocument/2006/relationships/footer" Target="footer9.xml"/><Relationship Id="rId31" Type="http://schemas.openxmlformats.org/officeDocument/2006/relationships/header" Target="header11.xml"/><Relationship Id="rId32" Type="http://schemas.openxmlformats.org/officeDocument/2006/relationships/image" Target="media/image2.png"/><Relationship Id="rId33" Type="http://schemas.openxmlformats.org/officeDocument/2006/relationships/header" Target="header12.xml"/><Relationship Id="rId34"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 - Form 8-K 2026-10-01 October PIPE</dc:title>
  <cp:revision>1</cp:revision>
</cp:coreProperties>
</file>