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700,750.00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700,750.00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700,750.00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Office of the Secretary 207 Mockingbird Lane, Johnson City, TN, 37604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Madison Avenue, New York, NY 10010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New York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700750.00</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0.848 %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700750.00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700750.00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311"/>
        </w:trPr>
        <w:tc>
          <w:tcPr>
            <w:tcW w:w="780" w:type="dxa"/>
            <w:vAlign w:val="bottom"/>
          </w:tcPr>
          <w:p>
            <w:pPr>
              <w:spacing w:after="0"/>
              <w:rPr>
                <w:sz w:val="24"/>
                <w:szCs w:val="24"/>
                <w:color w:val="auto"/>
              </w:rPr>
            </w:pPr>
          </w:p>
        </w:tc>
        <w:tc>
          <w:tcPr>
            <w:tcW w:w="103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group has filed this schedule pursuant to §240.13d-1(b)(1)(ii)(J), so indicate under Item 3(j) and attach an exhibit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stating the identity and Item 3 classification of each member of the group. If a group has filed this schedule pursuant</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to §240.13d-1(c) or §240.13d-1(d), attach an exhibit stating the identity of each member of the group.</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Notice of dissolution of a group may be furnished as an exhibit stating the date of the dissolution and that all further</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their individual capacity. See Item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-9471025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-4919345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ROYCE &amp; ASSOCIATES LP</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Daniel A. O'Byrne</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10/29/2026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color w:val="auto"/>
        </w:rPr>
        <w:t>Effective August 17, 2026, Franklin Resources, Inc. was renamed Franklin Templeton, Inc. ("FTI").The securities reported herein are beneficially owned by one or more registered investment companies or other managed accounts that are investment management clients of Royce &amp; Associates, LP ("RALP"), an indirect majority owned subsidiary of Franklin Templeton, Inc. ("FTI"). When an investment management contract (including a sub advisory agreement) delegates to RALP investment discretion or voting power over the securities held in the investment advisory accounts that are subject to that agreement, FTI treats RALP as having sole investment discretion or voting authority, as the case may be, unless the agreement specifies otherwise. Accordingly, RALP reports on Schedule 13G that it has sole investment discretion and voting authority over the securities covered by any such investment managementagreement, unless otherwise noted in this Item 4. As a result, for purposes of Rule 13d 3 under the Act, RALP may be deemed to be the beneficial owner of the securities reported in this Schedule 13G. Beneficial ownership by investment management subsidiaries and other affiliates of FTI is being reported in conformity with the guidelines articulated by the SEC staff in Release No. 3439538 (January 12, 1998) relating to organizations, such as FTI, where related entities exercise voting and investment powers over the securities being reported independently from eachother. The voting and investment powers held by RALP are exercised independently from FTI(RALP's parent holding company) and from all other investment management subsidiaries of FTI (FTI, its affiliates and investment management subsidiaries other than RALP are, collectively, "FTI affiliates"). Furthermore, internal policies and procedures of RALP and FTI affiliates establish informational barriers that prevent the flow between RALP and the FTI affiliates of information that relates to the voting and investment powers over the securities owned by their respective investment management clients. Consequently, RALP and the FTI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FTI and are the principal stockholders of FTI (see FTI's Proxy Statement-Stock Ownership of Certain Beneficial Owners). However, because RALP exercises voting and investment powers on behalf of its investment management clients independently of FTI affiliates, beneficial ownership of the securities reported by RALP is not attributed to the Principal Shareholders. RALP disclaims any pecuniary interest in any of the securities reported in this Schedule 13G. In addition, the filing of this Schedule 13G on behalf of RALP should not be construed as an admission that it is, and it disclaims that it is, the beneficial owner, as defined in Rule 13d 3, of any of such securities. Furthermore, RALP believes that it is not a "group" with FTI affiliates, the Principal Shareholders, or their respective affiliates within the meaning of Rule 13d 5 under the Act and that none of them is otherwise required to attribute to any other the beneficial ownership of the securities held by such person or by any persons or entities for whom or for which RALP or the FTI affiliates provide investment management services.</w:t>
      </w:r>
    </w:p>
    <w:sectPr>
      <w:pgSz w:w="11900" w:h="16838" w:orient="portrait"/>
      <w:cols w:equalWidth="0" w:num="1">
        <w:col w:w="11160"/>
      </w:cols>
      <w:pgMar w:left="360" w:top="59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5"/>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2026-10-29T07:21:19Z</dcterms:created>
  <dcterms:modified xsi:type="dcterms:W3CDTF">2026-10-29T07:21:19Z</dcterms:modified>
</cp:coreProperties>
</file>