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285115</wp:posOffset>
            </wp:positionH>
            <wp:positionV relativeFrom="page">
              <wp:posOffset>671830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697230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1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55245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86995</wp:posOffset>
            </wp:positionV>
            <wp:extent cx="259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38" w:lineRule="exact"/>
        <w:rPr>
          <w:sz w:val="24"/>
          <w:szCs w:val="24"/>
          <w:color w:val="auto"/>
        </w:rPr>
      </w:pPr>
    </w:p>
    <w:p>
      <w:pPr>
        <w:ind w:left="1320" w:hanging="336"/>
        <w:spacing w:after="0"/>
        <w:tabs>
          <w:tab w:leader="none" w:pos="1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1320" w:hanging="336"/>
        <w:spacing w:after="0"/>
        <w:tabs>
          <w:tab w:leader="none" w:pos="13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2"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001-39268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71120</wp:posOffset>
            </wp:positionV>
            <wp:extent cx="2597150"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90170</wp:posOffset>
            </wp:positionV>
            <wp:extent cx="2597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sectPr>
      </w:pPr>
    </w:p>
    <w:p>
      <w:pPr>
        <w:spacing w:after="0" w:line="282"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62-1096725</w:t>
      </w:r>
    </w:p>
    <w:p>
      <w:pPr>
        <w:spacing w:after="0" w:line="54" w:lineRule="exact"/>
        <w:rPr>
          <w:sz w:val="24"/>
          <w:szCs w:val="24"/>
          <w:color w:val="auto"/>
        </w:rPr>
      </w:pPr>
    </w:p>
    <w:p>
      <w:pPr>
        <w:sectPr>
          <w:pgSz w:w="11900" w:h="16838" w:orient="portrait"/>
          <w:cols w:equalWidth="0" w:num="2">
            <w:col w:w="6880" w:space="720"/>
            <w:col w:w="3500"/>
          </w:cols>
          <w:pgMar w:left="320" w:top="1276" w:right="479" w:bottom="1440" w:gutter="0" w:footer="0" w:header="0"/>
          <w:type w:val="continuous"/>
        </w:sectPr>
      </w:pPr>
    </w:p>
    <w:p>
      <w:pPr>
        <w:ind w:left="222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p>
      <w:pPr>
        <w:ind w:left="218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(I.R.S. Employer</w:t>
      </w:r>
    </w:p>
    <w:p>
      <w:pPr>
        <w:jc w:val="center"/>
        <w:ind w:right="2400"/>
        <w:spacing w:after="0"/>
        <w:rPr>
          <w:sz w:val="20"/>
          <w:szCs w:val="20"/>
          <w:color w:val="auto"/>
        </w:rPr>
      </w:pPr>
      <w:r>
        <w:rPr>
          <w:rFonts w:ascii="Times New Roman" w:cs="Times New Roman" w:eastAsia="Times New Roman" w:hAnsi="Times New Roman"/>
          <w:sz w:val="18"/>
          <w:szCs w:val="18"/>
          <w:i w:val="1"/>
          <w:iCs w:val="1"/>
          <w:color w:val="auto"/>
        </w:rPr>
        <w:t>Identification No.)</w:t>
      </w:r>
    </w:p>
    <w:p>
      <w:pPr>
        <w:spacing w:after="0" w:line="80" w:lineRule="exact"/>
        <w:rPr>
          <w:sz w:val="24"/>
          <w:szCs w:val="24"/>
          <w:color w:val="auto"/>
        </w:rPr>
      </w:pPr>
    </w:p>
    <w:p>
      <w:pPr>
        <w:sectPr>
          <w:pgSz w:w="11900" w:h="16838" w:orient="portrait"/>
          <w:cols w:equalWidth="0" w:num="2">
            <w:col w:w="6640" w:space="720"/>
            <w:col w:w="3740"/>
          </w:cols>
          <w:pgMar w:left="320" w:top="1276" w:right="47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b w:val="1"/>
          <w:bCs w:val="1"/>
          <w:color w:val="auto"/>
        </w:rPr>
        <w:t>6210 Ardrey Kell Road, Suite 120</w:t>
      </w:r>
    </w:p>
    <w:p>
      <w:pPr>
        <w:spacing w:after="0" w:line="4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ectPr>
          <w:pgSz w:w="11900" w:h="16838" w:orient="portrait"/>
          <w:cols w:equalWidth="0" w:num="1">
            <w:col w:w="11100"/>
          </w:cols>
          <w:pgMar w:left="320" w:top="1276" w:right="479" w:bottom="1440" w:gutter="0" w:footer="0" w:header="0"/>
          <w:type w:val="continuous"/>
        </w:sectPr>
      </w:pPr>
    </w:p>
    <w:p>
      <w:pPr>
        <w:spacing w:after="0" w:line="9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6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11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ectPr>
          <w:pgSz w:w="11900" w:h="16838" w:orient="portrait"/>
          <w:cols w:equalWidth="0" w:num="1">
            <w:col w:w="11100"/>
          </w:cols>
          <w:pgMar w:left="320" w:top="1276" w:right="479" w:bottom="1440" w:gutter="0" w:footer="0" w:header="0"/>
          <w:type w:val="continuous"/>
        </w:sectPr>
      </w:pPr>
    </w:p>
    <w:p>
      <w:pPr>
        <w:spacing w:after="0" w:line="45"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symbol</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p>
      <w:pPr>
        <w:spacing w:after="0" w:line="71" w:lineRule="exact"/>
        <w:rPr>
          <w:sz w:val="24"/>
          <w:szCs w:val="24"/>
          <w:color w:val="auto"/>
        </w:rPr>
      </w:pPr>
    </w:p>
    <w:p>
      <w:pPr>
        <w:sectPr>
          <w:pgSz w:w="11900" w:h="16838" w:orient="portrait"/>
          <w:cols w:equalWidth="0" w:num="3">
            <w:col w:w="4480" w:space="720"/>
            <w:col w:w="1520" w:space="720"/>
            <w:col w:w="3660"/>
          </w:cols>
          <w:pgMar w:left="320" w:top="1276" w:right="47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380" w:space="720"/>
            <w:col w:w="3600"/>
          </w:cols>
          <w:pgMar w:left="320" w:top="1276" w:right="479" w:bottom="1440" w:gutter="0" w:footer="0" w:header="0"/>
          <w:type w:val="continuous"/>
        </w:sectPr>
      </w:pPr>
    </w:p>
    <w:p>
      <w:pPr>
        <w:spacing w:after="0" w:line="27"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270"/>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3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58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21, 2026, there were 93,744,244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276"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20"/>
        </w:trPr>
        <w:tc>
          <w:tcPr>
            <w:tcW w:w="10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2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120" w:type="dxa"/>
            <w:vAlign w:val="bottom"/>
            <w:gridSpan w:val="3"/>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27"/>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9"/>
        </w:trPr>
        <w:tc>
          <w:tcPr>
            <w:tcW w:w="1020" w:type="dxa"/>
            <w:vAlign w:val="bottom"/>
          </w:tcPr>
          <w:p>
            <w:pPr>
              <w:spacing w:after="0"/>
              <w:rPr>
                <w:sz w:val="19"/>
                <w:szCs w:val="19"/>
                <w:color w:val="auto"/>
              </w:rPr>
            </w:pPr>
          </w:p>
        </w:tc>
        <w:tc>
          <w:tcPr>
            <w:tcW w:w="28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4940" w:type="dxa"/>
            <w:vAlign w:val="bottom"/>
            <w:gridSpan w:val="5"/>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940" w:type="dxa"/>
            <w:vAlign w:val="bottom"/>
            <w:gridSpan w:val="5"/>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680" w:type="dxa"/>
            <w:vAlign w:val="bottom"/>
            <w:gridSpan w:val="4"/>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50"/>
        </w:trPr>
        <w:tc>
          <w:tcPr>
            <w:tcW w:w="1020" w:type="dxa"/>
            <w:vAlign w:val="bottom"/>
          </w:tcPr>
          <w:p>
            <w:pPr>
              <w:spacing w:after="0"/>
              <w:rPr>
                <w:sz w:val="21"/>
                <w:szCs w:val="21"/>
                <w:color w:val="auto"/>
              </w:rPr>
            </w:pPr>
          </w:p>
        </w:tc>
        <w:tc>
          <w:tcPr>
            <w:tcW w:w="2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5240" w:type="dxa"/>
            <w:vAlign w:val="bottom"/>
            <w:gridSpan w:val="8"/>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304"/>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21"/>
                <w:szCs w:val="21"/>
                <w:color w:val="auto"/>
              </w:rPr>
            </w:pPr>
          </w:p>
        </w:tc>
        <w:tc>
          <w:tcPr>
            <w:tcW w:w="5120" w:type="dxa"/>
            <w:vAlign w:val="bottom"/>
            <w:gridSpan w:val="6"/>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gridSpan w:val="2"/>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4120" w:type="dxa"/>
            <w:vAlign w:val="bottom"/>
            <w:gridSpan w:val="3"/>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4680" w:type="dxa"/>
            <w:vAlign w:val="bottom"/>
            <w:gridSpan w:val="4"/>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50"/>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5140" w:type="dxa"/>
            <w:vAlign w:val="bottom"/>
            <w:gridSpan w:val="7"/>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r>
      <w:tr>
        <w:trPr>
          <w:trHeight w:val="250"/>
        </w:trPr>
        <w:tc>
          <w:tcPr>
            <w:tcW w:w="1020" w:type="dxa"/>
            <w:vAlign w:val="bottom"/>
          </w:tcPr>
          <w:p>
            <w:pPr>
              <w:spacing w:after="0"/>
              <w:rPr>
                <w:sz w:val="21"/>
                <w:szCs w:val="21"/>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20"/>
        </w:trPr>
        <w:tc>
          <w:tcPr>
            <w:tcW w:w="10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469" w:right="1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317,492</w:t>
            </w:r>
          </w:p>
        </w:tc>
      </w:tr>
      <w:tr>
        <w:trPr>
          <w:trHeight w:val="189"/>
        </w:trPr>
        <w:tc>
          <w:tcPr>
            <w:tcW w:w="5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below)</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267,755</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34,325</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r>
      <w:tr>
        <w:trPr>
          <w:trHeight w:val="169"/>
        </w:trPr>
        <w:tc>
          <w:tcPr>
            <w:tcW w:w="56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43"/>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venture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4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3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7"/>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61"/>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common share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49,373</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11,377</w:t>
            </w:r>
          </w:p>
        </w:tc>
        <w:tc>
          <w:tcPr>
            <w:tcW w:w="0" w:type="dxa"/>
            <w:vAlign w:val="bottom"/>
          </w:tcPr>
          <w:p>
            <w:pPr>
              <w:spacing w:after="0"/>
              <w:rPr>
                <w:sz w:val="1"/>
                <w:szCs w:val="1"/>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allowances of $1,681 and $1,401 at September 30, 2026 and December 31, 2025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59,785</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65,978</w:t>
            </w:r>
          </w:p>
        </w:tc>
        <w:tc>
          <w:tcPr>
            <w:tcW w:w="0" w:type="dxa"/>
            <w:vAlign w:val="bottom"/>
          </w:tcPr>
          <w:p>
            <w:pPr>
              <w:spacing w:after="0"/>
              <w:rPr>
                <w:sz w:val="1"/>
                <w:szCs w:val="1"/>
                <w:color w:val="auto"/>
              </w:rPr>
            </w:pPr>
          </w:p>
        </w:tc>
      </w:tr>
      <w:tr>
        <w:trPr>
          <w:trHeight w:val="227"/>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 receivable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c>
          <w:tcPr>
            <w:tcW w:w="0" w:type="dxa"/>
            <w:vAlign w:val="bottom"/>
          </w:tcPr>
          <w:p>
            <w:pPr>
              <w:spacing w:after="0"/>
              <w:rPr>
                <w:sz w:val="1"/>
                <w:szCs w:val="1"/>
                <w:color w:val="auto"/>
              </w:rPr>
            </w:pPr>
          </w:p>
        </w:tc>
      </w:tr>
      <w:tr>
        <w:trPr>
          <w:trHeight w:val="227"/>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10,526</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164,007</w:t>
            </w: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$282,123 and $265,399 at September 30, 2026 and</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164,096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158,885</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2025</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35,155</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30,789</w:t>
            </w: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42,543</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w:t>
            </w:r>
          </w:p>
        </w:tc>
        <w:tc>
          <w:tcPr>
            <w:tcW w:w="0" w:type="dxa"/>
            <w:vAlign w:val="bottom"/>
          </w:tcPr>
          <w:p>
            <w:pPr>
              <w:spacing w:after="0"/>
              <w:rPr>
                <w:sz w:val="1"/>
                <w:szCs w:val="1"/>
                <w:color w:val="auto"/>
              </w:rPr>
            </w:pP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450,894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440,784</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Preferred Stock, and Stockholders’ Equity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49,442</w:t>
            </w:r>
          </w:p>
        </w:tc>
        <w:tc>
          <w:tcPr>
            <w:tcW w:w="0" w:type="dxa"/>
            <w:vAlign w:val="bottom"/>
          </w:tcPr>
          <w:p>
            <w:pPr>
              <w:spacing w:after="0"/>
              <w:rPr>
                <w:sz w:val="1"/>
                <w:szCs w:val="1"/>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salaries, wages and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payable</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26"/>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w:t>
            </w:r>
          </w:p>
        </w:tc>
        <w:tc>
          <w:tcPr>
            <w:tcW w:w="0" w:type="dxa"/>
            <w:vAlign w:val="bottom"/>
          </w:tcPr>
          <w:p>
            <w:pPr>
              <w:spacing w:after="0"/>
              <w:rPr>
                <w:sz w:val="1"/>
                <w:szCs w:val="1"/>
                <w:color w:val="auto"/>
              </w:rPr>
            </w:pPr>
          </w:p>
        </w:tc>
      </w:tr>
      <w:tr>
        <w:trPr>
          <w:trHeight w:val="22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89,795</w:t>
            </w:r>
          </w:p>
        </w:tc>
        <w:tc>
          <w:tcPr>
            <w:tcW w:w="0" w:type="dxa"/>
            <w:vAlign w:val="bottom"/>
          </w:tcPr>
          <w:p>
            <w:pPr>
              <w:spacing w:after="0"/>
              <w:rPr>
                <w:sz w:val="1"/>
                <w:szCs w:val="1"/>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153,758</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37,092</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311,568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294,377</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2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Series D perpetual preferred stock - $0.01 par value per share, 65 shares authorized, 18 issued and outstanding at</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112,409</w:t>
            </w:r>
          </w:p>
        </w:tc>
        <w:tc>
          <w:tcPr>
            <w:tcW w:w="0" w:type="dxa"/>
            <w:vAlign w:val="bottom"/>
          </w:tcPr>
          <w:p>
            <w:pPr>
              <w:spacing w:after="0"/>
              <w:rPr>
                <w:sz w:val="1"/>
                <w:szCs w:val="1"/>
                <w:color w:val="auto"/>
              </w:rPr>
            </w:pPr>
          </w:p>
        </w:tc>
      </w:tr>
      <w:tr>
        <w:trPr>
          <w:trHeight w:val="213"/>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2026 and 65 issued and outstanding at December 31, 2025</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5" w:lineRule="exact"/>
              <w:rPr>
                <w:sz w:val="20"/>
                <w:szCs w:val="20"/>
                <w:color w:val="auto"/>
              </w:rPr>
            </w:pPr>
            <w:r>
              <w:rPr>
                <w:rFonts w:ascii="Times New Roman" w:cs="Times New Roman" w:eastAsia="Times New Roman" w:hAnsi="Times New Roman"/>
                <w:sz w:val="16"/>
                <w:szCs w:val="16"/>
                <w:color w:val="auto"/>
              </w:rPr>
              <w:t>Common stock - $0.01 par value per share, 180,000 shares authorized, 82,469 and 50,196 shares issued and outstanding</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0" w:type="dxa"/>
            <w:vAlign w:val="bottom"/>
          </w:tcPr>
          <w:p>
            <w:pPr>
              <w:spacing w:after="0"/>
              <w:rPr>
                <w:sz w:val="1"/>
                <w:szCs w:val="1"/>
                <w:color w:val="auto"/>
              </w:rPr>
            </w:pPr>
          </w:p>
        </w:tc>
      </w:tr>
      <w:tr>
        <w:trPr>
          <w:trHeight w:val="213"/>
        </w:trPr>
        <w:tc>
          <w:tcPr>
            <w:tcW w:w="82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at September 30, 2026 and December 31, 2025</w:t>
            </w: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439,700</w:t>
            </w:r>
          </w:p>
        </w:tc>
        <w:tc>
          <w:tcPr>
            <w:tcW w:w="0" w:type="dxa"/>
            <w:vAlign w:val="bottom"/>
          </w:tcPr>
          <w:p>
            <w:pPr>
              <w:spacing w:after="0"/>
              <w:rPr>
                <w:sz w:val="1"/>
                <w:szCs w:val="1"/>
                <w:color w:val="auto"/>
              </w:rPr>
            </w:pPr>
          </w:p>
        </w:tc>
      </w:tr>
      <w:tr>
        <w:trPr>
          <w:trHeight w:val="227"/>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(367,625)</w:t>
            </w:r>
          </w:p>
        </w:tc>
        <w:tc>
          <w:tcPr>
            <w:tcW w:w="0" w:type="dxa"/>
            <w:vAlign w:val="bottom"/>
          </w:tcPr>
          <w:p>
            <w:pPr>
              <w:spacing w:after="0"/>
              <w:rPr>
                <w:sz w:val="1"/>
                <w:szCs w:val="1"/>
                <w:color w:val="auto"/>
              </w:rPr>
            </w:pPr>
          </w:p>
        </w:tc>
      </w:tr>
      <w:tr>
        <w:trPr>
          <w:trHeight w:val="23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(38,579)</w:t>
            </w:r>
          </w:p>
        </w:tc>
        <w:tc>
          <w:tcPr>
            <w:tcW w:w="0" w:type="dxa"/>
            <w:vAlign w:val="bottom"/>
          </w:tcPr>
          <w:p>
            <w:pPr>
              <w:spacing w:after="0"/>
              <w:rPr>
                <w:sz w:val="1"/>
                <w:szCs w:val="1"/>
                <w:color w:val="auto"/>
              </w:rPr>
            </w:pPr>
          </w:p>
        </w:tc>
      </w:tr>
      <w:tr>
        <w:trPr>
          <w:trHeight w:val="22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33,998</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preferred stock,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440,784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 w:name="page5"/>
    <w:bookmarkEnd w:id="4"/>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3"/>
        </w:trPr>
        <w:tc>
          <w:tcPr>
            <w:tcW w:w="8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8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Paid-in-kind interest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 loss (gain)</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net income from joint venture, net of cash dividends received</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43"/>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43"/>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4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operating assets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r>
      <w:tr>
        <w:trPr>
          <w:trHeight w:val="24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3"/>
        </w:trPr>
        <w:tc>
          <w:tcPr>
            <w:tcW w:w="8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r>
      <w:tr>
        <w:trPr>
          <w:trHeight w:val="243"/>
        </w:trPr>
        <w:tc>
          <w:tcPr>
            <w:tcW w:w="8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7"/>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asset backed credit facilities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asset backed credit facilities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119,234</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(116,583)</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69,405</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equipment</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sale-leaseback of land and buildings</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financing obligations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r>
      <w:tr>
        <w:trPr>
          <w:trHeight w:val="23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flows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(5,913)</w:t>
            </w:r>
          </w:p>
        </w:tc>
      </w:tr>
      <w:tr>
        <w:trPr>
          <w:trHeight w:val="24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w:t>
            </w:r>
          </w:p>
        </w:tc>
      </w:tr>
      <w:tr>
        <w:trPr>
          <w:trHeight w:val="26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1"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additions to property, plant and equipment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additions to financing obligations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Series D perpetual preferred stock exchanged for common stock</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ectPr>
          <w:pgSz w:w="11900" w:h="16922" w:orient="portrait"/>
          <w:cols w:equalWidth="0" w:num="1">
            <w:col w:w="11240"/>
          </w:cols>
          <w:pgMar w:left="320" w:top="477" w:right="339" w:bottom="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922" w:orient="portrait"/>
          <w:cols w:equalWidth="0" w:num="1">
            <w:col w:w="11240"/>
          </w:cols>
          <w:pgMar w:left="320" w:top="477" w:right="339" w:bottom="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and 2025</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433,225</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(376,720)</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198"/>
        </w:trPr>
        <w:tc>
          <w:tcPr>
            <w:tcW w:w="47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 of issuance costs (1)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88,168</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6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720" w:type="dxa"/>
            <w:vAlign w:val="bottom"/>
          </w:tcPr>
          <w:p>
            <w:pPr>
              <w:spacing w:after="0"/>
              <w:rPr>
                <w:sz w:val="24"/>
                <w:szCs w:val="24"/>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(348,408)</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443,936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(355,087)</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and 2025</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50,196</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439,700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(367,625)</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33,998</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net of issuance costs (1)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88,168</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82,469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519,565</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(381,307)</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103,732</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7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6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Par</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3"/>
                <w:szCs w:val="13"/>
                <w:color w:val="auto"/>
              </w:rPr>
            </w:pPr>
          </w:p>
        </w:tc>
        <w:tc>
          <w:tcPr>
            <w:tcW w:w="116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00" w:type="dxa"/>
            <w:vAlign w:val="bottom"/>
          </w:tcPr>
          <w:p>
            <w:pPr>
              <w:spacing w:after="0"/>
              <w:rPr>
                <w:sz w:val="13"/>
                <w:szCs w:val="13"/>
                <w:color w:val="auto"/>
              </w:rPr>
            </w:pPr>
          </w:p>
        </w:tc>
        <w:tc>
          <w:tcPr>
            <w:tcW w:w="74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720" w:type="dxa"/>
            <w:vAlign w:val="bottom"/>
            <w:vMerge w:val="continue"/>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455,811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(333,621)</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74,522</w:t>
            </w:r>
          </w:p>
        </w:tc>
        <w:tc>
          <w:tcPr>
            <w:tcW w:w="0" w:type="dxa"/>
            <w:vAlign w:val="bottom"/>
          </w:tcPr>
          <w:p>
            <w:pPr>
              <w:spacing w:after="0"/>
              <w:rPr>
                <w:sz w:val="1"/>
                <w:szCs w:val="1"/>
                <w:color w:val="auto"/>
              </w:rPr>
            </w:pPr>
          </w:p>
        </w:tc>
      </w:tr>
      <w:tr>
        <w:trPr>
          <w:trHeight w:val="243"/>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for preferred stock</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Shares issued under stock incentive plans, net of forfeitures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tax withholdings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189"/>
        </w:trPr>
        <w:tc>
          <w:tcPr>
            <w:tcW w:w="47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Restricted shares surrendered for tax withholdings under stock</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incentive plans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0" w:type="dxa"/>
            <w:vAlign w:val="bottom"/>
          </w:tcPr>
          <w:p>
            <w:pPr>
              <w:spacing w:after="0"/>
              <w:rPr>
                <w:sz w:val="1"/>
                <w:szCs w:val="1"/>
                <w:color w:val="auto"/>
              </w:rPr>
            </w:pP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443,936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(355,087)</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00" w:right="320" w:hanging="330"/>
        <w:spacing w:after="0" w:line="282" w:lineRule="auto"/>
        <w:tabs>
          <w:tab w:leader="none" w:pos="5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impact consists of $96.1 million for shares issued, less $4.8 million of fees and $3.4 million of deemed dividends (see Note 9).</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65"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September 30, 2026, we had 27 facilities in North America, South America, Europe and China.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2025, was derived from the audited consolidated financial statements included in our Annual Report on Form 10-K for the year ended December 31, 2025 (the “2025 Annual Report”), which we filed with the U.S. Securities and Exchange Commission (the “SEC”) on March 4, 2026. In management’s opinion, the accompanying unaudited condensed consolidated financial statements reflect all adjustments necessary to fairly state our results of operations for the three and nine months ended September 30, 2026 and 2025; financial position as of September 30, 2026 and December 31, 2025; and cash flows for the nine months ended September 30, 2026 and 2025, on a basis consistent with our audited consolidated financial statements. These adjustments are of a normal recurring nature and are, in the opinion of management, necessary to state fairly our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2025 Annual Report. The results for the three and nine months ended September 30, 2026, are not necessarily indicative of results for the year ending December 31, 2026, or any other future periods.</w:t>
      </w:r>
    </w:p>
    <w:p>
      <w:pPr>
        <w:spacing w:after="0" w:line="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50"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We have adopted the practical expedient effective for the current fiscal year noting that it does not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the Company’s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Expense Disaggregation Disclosures (Subtopic 220-40): Disaggregation of 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(“ASU 2024-03”), which requires disaggregated disclosures of certain categories of expenses that are included in income statement line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fiscal years beginning on or after December 15, 2026, and interim periods within fiscal years beginning after December 15, 2027. Companies may early adopt and can apply the guidance prospectively or retrospectively. We have not yet determined the potential impact of adopting this standard.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6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ceased production activity at our Mobile Solutions plant in Dowagiac, Michigan. The assets that we own have been classified as held for sale as of September 30, 2026 as we are actively marketing the property and equipment for sale. The net book value of remaining assets held for sale of $1.0 million is included in “Other current assets” on the Condensed Consolidated Balance Sheets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Our business is organized into two reportable segments, Mobile Solutions and Power Solutions, based on the nature of the products manufactured. There have been no changes in the composition of our reportable segments from those described in our Annual Report on Form 10-K for the year ended 2025.</w:t>
      </w:r>
    </w:p>
    <w:p>
      <w:pPr>
        <w:spacing w:after="0" w:line="2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reportable segments are considered our two operating segments as each has engaged in business activities for which it earns revenues and incurs expenses, discrete financial information is available for each, and this is the level at which the chief operating decision maker (“CODM”) reviews discrete financial information for purposes of allocating resources and assessing performance. The CODM, who is our President and Chief Executive Officer, uses segment operating income (loss) to evaluate the performance of our segments each quarter and for annual forecasting purposes. Segment operating income (loss) is used to make key operating decisions, such as the amount and timing of capital expenditures, plant optimization actions, and allocation of management resources. In addition to amounts allocated to our two reportable segments, certain corporate costs and unallocated expenses that are not allocated to the reportable segments and are included in reconciliations to consolidated results. Transactions between segments are recorded at cost.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reconcile segment net sales to consolidated loss before provision for income taxes and share of net income from joint venture.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net sales</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(loss) income: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 (2)</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60" w:hanging="390"/>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amortization expense and other operating expenses and income.</w:t>
      </w:r>
    </w:p>
    <w:p>
      <w:pPr>
        <w:spacing w:after="0" w:line="63" w:lineRule="exact"/>
        <w:rPr>
          <w:rFonts w:ascii="Times New Roman" w:cs="Times New Roman" w:eastAsia="Times New Roman" w:hAnsi="Times New Roman"/>
          <w:sz w:val="18"/>
          <w:szCs w:val="18"/>
          <w:color w:val="auto"/>
        </w:rPr>
      </w:pPr>
    </w:p>
    <w:p>
      <w:pPr>
        <w:ind w:left="500" w:right="720" w:hanging="330"/>
        <w:spacing w:after="0" w:line="282" w:lineRule="auto"/>
        <w:tabs>
          <w:tab w:leader="none" w:pos="4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 selling, general, and administrative expense of $6.1 million, depreciation expense of $0.4 million, and other operating income of $0.2 million from our corporate headquarters that are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56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net sales</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(loss) income: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 (2)</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60" w:hanging="390"/>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amortization expense and other operating expenses and income.</w:t>
      </w:r>
    </w:p>
    <w:p>
      <w:pPr>
        <w:spacing w:after="0" w:line="63" w:lineRule="exact"/>
        <w:rPr>
          <w:rFonts w:ascii="Times New Roman" w:cs="Times New Roman" w:eastAsia="Times New Roman" w:hAnsi="Times New Roman"/>
          <w:sz w:val="18"/>
          <w:szCs w:val="18"/>
          <w:color w:val="auto"/>
        </w:rPr>
      </w:pPr>
    </w:p>
    <w:p>
      <w:pPr>
        <w:ind w:left="500" w:right="720" w:hanging="330"/>
        <w:spacing w:after="0" w:line="282" w:lineRule="auto"/>
        <w:tabs>
          <w:tab w:leader="none" w:pos="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 selling, general, and administrative expense of $4.6 million, depreciation expense of $0.4 million, and other operating income of $0.2 million from our corporate headquarters that are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3"/>
                <w:szCs w:val="13"/>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197,485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net sales</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(loss) income: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 (2)</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60" w:hanging="390"/>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amortization expense and other operating expenses and income.</w:t>
      </w:r>
    </w:p>
    <w:p>
      <w:pPr>
        <w:spacing w:after="0" w:line="63" w:lineRule="exact"/>
        <w:rPr>
          <w:rFonts w:ascii="Times New Roman" w:cs="Times New Roman" w:eastAsia="Times New Roman" w:hAnsi="Times New Roman"/>
          <w:sz w:val="18"/>
          <w:szCs w:val="18"/>
          <w:color w:val="auto"/>
        </w:rPr>
      </w:pPr>
    </w:p>
    <w:p>
      <w:pPr>
        <w:ind w:left="500" w:right="620" w:hanging="330"/>
        <w:spacing w:after="0" w:line="282" w:lineRule="auto"/>
        <w:tabs>
          <w:tab w:leader="none" w:pos="43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 selling, general, and administrative expense of $18.1 million, depreciation expense of $1.1 million, and other operating income of $0.6 million from our corporate headquarters that are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40" w:type="dxa"/>
            <w:vAlign w:val="bottom"/>
          </w:tcPr>
          <w:p>
            <w:pPr>
              <w:spacing w:after="0"/>
              <w:rPr>
                <w:sz w:val="13"/>
                <w:szCs w:val="13"/>
                <w:color w:val="auto"/>
              </w:rPr>
            </w:pPr>
          </w:p>
        </w:tc>
        <w:tc>
          <w:tcPr>
            <w:tcW w:w="1100" w:type="dxa"/>
            <w:vAlign w:val="bottom"/>
            <w:vMerge w:val="restart"/>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317,492</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Intersegment net sales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317,848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net sales: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Elimination of intersegment net sales</w:t>
            </w:r>
          </w:p>
        </w:tc>
        <w:tc>
          <w:tcPr>
            <w:tcW w:w="26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segment items (1)</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operating (loss) income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4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(loss) income:</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expenses (2)</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560" w:hanging="390"/>
        <w:spacing w:after="0"/>
        <w:tabs>
          <w:tab w:leader="none" w:pos="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amortization expense and other operating expenses and income.</w:t>
      </w:r>
    </w:p>
    <w:p>
      <w:pPr>
        <w:spacing w:after="0" w:line="63" w:lineRule="exact"/>
        <w:rPr>
          <w:rFonts w:ascii="Times New Roman" w:cs="Times New Roman" w:eastAsia="Times New Roman" w:hAnsi="Times New Roman"/>
          <w:sz w:val="18"/>
          <w:szCs w:val="18"/>
          <w:color w:val="auto"/>
        </w:rPr>
      </w:pPr>
    </w:p>
    <w:p>
      <w:pPr>
        <w:ind w:left="500" w:right="620" w:hanging="330"/>
        <w:spacing w:after="0" w:line="282"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expenses consist of selling, general, and administrative expense of $15.5 million, depreciation expense of $1.2 million, and other operating income of $0.6 million from our corporate headquarters that are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by reportable segment.</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2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5,147</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7,907</w:t>
            </w: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r>
      <w:tr>
        <w:trPr>
          <w:trHeight w:val="236"/>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5,973</w:t>
            </w:r>
          </w:p>
        </w:tc>
        <w:tc>
          <w:tcPr>
            <w:tcW w:w="100" w:type="dxa"/>
            <w:vAlign w:val="bottom"/>
          </w:tcPr>
          <w:p>
            <w:pPr>
              <w:spacing w:after="0"/>
              <w:rPr>
                <w:sz w:val="20"/>
                <w:szCs w:val="20"/>
                <w:color w:val="auto"/>
              </w:rPr>
            </w:pPr>
          </w:p>
        </w:tc>
        <w:tc>
          <w:tcPr>
            <w:tcW w:w="820" w:type="dxa"/>
            <w:vAlign w:val="bottom"/>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3,221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r>
      <w:tr>
        <w:trPr>
          <w:trHeight w:val="270"/>
        </w:trPr>
        <w:tc>
          <w:tcPr>
            <w:tcW w:w="56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totals:</w:t>
            </w: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unallocated amounts (1)</w:t>
            </w: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6"/>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6,406</w:t>
            </w: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3,428</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Mobile Solutions</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5,550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r>
      <w:tr>
        <w:trPr>
          <w:trHeight w:val="243"/>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 Solutions</w:t>
            </w:r>
          </w:p>
        </w:tc>
        <w:tc>
          <w:tcPr>
            <w:tcW w:w="8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3,341</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3,385</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37"/>
        </w:trPr>
        <w:tc>
          <w:tcPr>
            <w:tcW w:w="5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8,891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8,675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w:t>
            </w:r>
          </w:p>
        </w:tc>
      </w:tr>
      <w:tr>
        <w:trPr>
          <w:trHeight w:val="270"/>
        </w:trPr>
        <w:tc>
          <w:tcPr>
            <w:tcW w:w="5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totals:</w:t>
            </w: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43"/>
        </w:trPr>
        <w:tc>
          <w:tcPr>
            <w:tcW w:w="5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unallocated amounts (2)</w:t>
            </w:r>
          </w:p>
        </w:tc>
        <w:tc>
          <w:tcPr>
            <w:tcW w:w="8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62"/>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800" w:type="dxa"/>
            <w:vAlign w:val="bottom"/>
            <w:tcBorders>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9,260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00" w:hanging="430"/>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unallocated amounts consist of capital expenditures from our corporate headquarters that are not allocated to segments.</w:t>
      </w:r>
    </w:p>
    <w:p>
      <w:pPr>
        <w:spacing w:after="0" w:line="117" w:lineRule="exact"/>
        <w:rPr>
          <w:rFonts w:ascii="Times New Roman" w:cs="Times New Roman" w:eastAsia="Times New Roman" w:hAnsi="Times New Roman"/>
          <w:sz w:val="18"/>
          <w:szCs w:val="18"/>
          <w:color w:val="auto"/>
        </w:rPr>
      </w:pPr>
    </w:p>
    <w:p>
      <w:pPr>
        <w:ind w:left="600" w:hanging="430"/>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unallocated amounts consist of depreciation expense from our corporate headquarters that are not allocated to segments.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assets by reportable segment.</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 Solutions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Power Solutions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123,883</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430,488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411,857</w:t>
            </w:r>
          </w:p>
        </w:tc>
      </w:tr>
      <w:tr>
        <w:trPr>
          <w:trHeight w:val="270"/>
        </w:trPr>
        <w:tc>
          <w:tcPr>
            <w:tcW w:w="7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totals: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unallocated amounts (2)</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28,927</w:t>
            </w:r>
          </w:p>
        </w:tc>
      </w:tr>
      <w:tr>
        <w:trPr>
          <w:trHeight w:val="26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500" w:right="180" w:hanging="330"/>
        <w:spacing w:after="0" w:line="282" w:lineRule="auto"/>
        <w:tabs>
          <w:tab w:leader="none" w:pos="6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 Mobile Solutions includes $48.0 million and $42.5 million as of September 30, 2026 and December 31, 2025, respectively, related to our investment in a joint venture (see Note 7).</w:t>
      </w:r>
    </w:p>
    <w:p>
      <w:pPr>
        <w:spacing w:after="0" w:line="53" w:lineRule="exact"/>
        <w:rPr>
          <w:rFonts w:ascii="Times New Roman" w:cs="Times New Roman" w:eastAsia="Times New Roman" w:hAnsi="Times New Roman"/>
          <w:sz w:val="18"/>
          <w:szCs w:val="18"/>
          <w:color w:val="auto"/>
        </w:rPr>
      </w:pPr>
    </w:p>
    <w:p>
      <w:pPr>
        <w:ind w:left="500" w:hanging="330"/>
        <w:spacing w:after="0" w:line="261" w:lineRule="auto"/>
        <w:tabs>
          <w:tab w:leader="none" w:pos="6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amounts consisted of $7.9 million current assets, $6.5 million of property, plant and equipment, $3.6 million of operating leases, and $2.4 million of other non-current assets that are not allocated to segments from our corporate headquarters. As of December 31, 2025, amounts consisted of $15.8 million current assets, $6.6 million of property, plant and equipment, $4.0 million of operating leases, and $2.6 million of other non-current assets that are not allocated to segments from our corporate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6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Beginning in the second quarter of fiscal 2026, we revised our revenue disaggregation categories to provide more detailed disclosure of the markets we serve. Prior period amounts have been recast to conform to the current presentation. The following tables summarize revenue by customer industry. Our products in the Global Automotive end market include high-precision components and assemblies for electric power steering systems, electric braking, electric motors, sensors, electrical contacts, fuel systems, emissions control, and transmissions. Our products in the Data Center &amp; Electric Grid end market include components used in smart meters, electric circuits, electric panels, and liquid cooling connectors for thermal management systems in data centers. Our products in the Industrial end market include high-precision metal components for a variety of industrial applications, including motors, heating and cooling systems, pumps, valves, and power tools. Our products in the Commercial Vehicle end market include high-precision components for diesel fuel systems, emissions control, power steering, braking, and transmissions. Our products in the Defense &amp; Electronics end market include plating of critical electronics contained within advanced weapons systems, metal fabrications within guidance and weapon systems, and machined parts for firearms and accessories. Our products in the Medical end market include high-precision components used in surgical instruments, robotic-assisted surgery equipment, orthopedic tools, orthopedic components, electrosurgical products, suture-related products, and other precision medical devices.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 Center &amp; Electric Grid</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Vehicle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&amp; Electronics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Medical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(255)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(255)</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Automotive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 Center &amp; Electric Grid</w:t>
            </w:r>
          </w:p>
        </w:tc>
        <w:tc>
          <w:tcPr>
            <w:tcW w:w="260" w:type="dxa"/>
            <w:vAlign w:val="bottom"/>
          </w:tcPr>
          <w:p>
            <w:pPr>
              <w:spacing w:after="0"/>
              <w:rPr>
                <w:sz w:val="21"/>
                <w:szCs w:val="21"/>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Vehicle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&amp; Electronics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Medical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(183)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(183)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60" w:type="dxa"/>
            <w:vAlign w:val="bottom"/>
          </w:tcPr>
          <w:p>
            <w:pPr>
              <w:spacing w:after="0"/>
              <w:rPr>
                <w:sz w:val="24"/>
                <w:szCs w:val="24"/>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7"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131,486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Data Center &amp; Electric Grid</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Vehicle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&amp; Electronics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Medical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(458)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(458)</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60" w:type="dxa"/>
            <w:vAlign w:val="bottom"/>
          </w:tcPr>
          <w:p>
            <w:pPr>
              <w:spacing w:after="0"/>
              <w:rPr>
                <w:sz w:val="13"/>
                <w:szCs w:val="13"/>
                <w:color w:val="auto"/>
              </w:rPr>
            </w:pPr>
          </w:p>
        </w:tc>
        <w:tc>
          <w:tcPr>
            <w:tcW w:w="12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8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Automotive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&amp; Electric Grid</w:t>
            </w: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56,656</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Vehicle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&amp; Electronics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Medical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(356)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184,752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7"/>
              </w:rPr>
              <w:t>(356)</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Concentration</w:t>
      </w:r>
    </w:p>
    <w:p>
      <w:pPr>
        <w:spacing w:after="0" w:line="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a customer in our Mobile Solutions segment represented 10% and 11% of consolidated revenue,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$0.7 million and $0.3 million as of September 30, 2026 and December 31, 2025, respectively. Revenue recognized for performance obligations satisfied or partially satisfied during the nine months ended September 30, 2026 included $0.3 million that was included in deferred revenue as of December 31, 2025. The balance of deferred revenue was $0.2 million as of September 30, 2025 and December 31, 2024. Revenue recognized for performance obligations satisfied or partially satisfied during the nine months ended September 30, 2025 included $0.2 million that was included in deferred revenue as of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6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September 30, 2026, unless our contracts meet one of the practical expedients. Our contracts met the practical expedient for a performance obligation that is part of a contract that has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w:t>
      </w:r>
    </w:p>
    <w:p>
      <w:pPr>
        <w:spacing w:after="0" w:line="67"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18"/>
          <w:szCs w:val="18"/>
          <w:color w:val="auto"/>
        </w:rPr>
        <w:t>The balance of trade accounts receivable was $63.0 million and $61.5 million as of September 30, 2025 and December 31, 2024, respectively. The following table presents changes in the allowance for credit losses.</w:t>
      </w:r>
    </w:p>
    <w:p>
      <w:pPr>
        <w:ind w:left="8900"/>
        <w:spacing w:after="0" w:line="228" w:lineRule="auto"/>
        <w:rPr>
          <w:sz w:val="20"/>
          <w:szCs w:val="20"/>
          <w:color w:val="auto"/>
        </w:rPr>
      </w:pPr>
      <w:r>
        <w:rPr>
          <w:rFonts w:ascii="Times New Roman" w:cs="Times New Roman" w:eastAsia="Times New Roman" w:hAnsi="Times New Roman"/>
          <w:sz w:val="14"/>
          <w:szCs w:val="14"/>
          <w:b w:val="1"/>
          <w:bCs w:val="1"/>
          <w:color w:val="auto"/>
        </w:rPr>
        <w:t>Nine Months Ended</w:t>
      </w:r>
    </w:p>
    <w:p>
      <w:pPr>
        <w:ind w:left="91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22225</wp:posOffset>
            </wp:positionV>
            <wp:extent cx="21602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participate in programs that allow us to sell certain receivables from customers on a non-recourse basis to third-party financial institutions. During the nine months ended September 30, 2026 and 2025, we incurred fees of $0.5 million and $0.4 million, respectively, related to the sale of receivables, which is recorded in the Other income, net line item on the Condensed Consolidated Statements of Operations and Comprehensive Income (Loss).</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September 30, 2026, one customer represented 11% of consolidated accounts receivable. As of December 31, 2025 there were no customers that represented 10% of consolidated accounts receivable.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6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29,099</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26,528</w:t>
            </w:r>
          </w:p>
        </w:tc>
        <w:tc>
          <w:tcPr>
            <w:tcW w:w="0" w:type="dxa"/>
            <w:vAlign w:val="bottom"/>
          </w:tcPr>
          <w:p>
            <w:pPr>
              <w:spacing w:after="0"/>
              <w:rPr>
                <w:sz w:val="1"/>
                <w:szCs w:val="1"/>
                <w:color w:val="auto"/>
              </w:rPr>
            </w:pP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19,739</w:t>
            </w: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19,711</w:t>
            </w:r>
          </w:p>
        </w:tc>
        <w:tc>
          <w:tcPr>
            <w:tcW w:w="0" w:type="dxa"/>
            <w:vAlign w:val="bottom"/>
          </w:tcPr>
          <w:p>
            <w:pPr>
              <w:spacing w:after="0"/>
              <w:rPr>
                <w:sz w:val="1"/>
                <w:szCs w:val="1"/>
                <w:color w:val="auto"/>
              </w:rPr>
            </w:pPr>
          </w:p>
        </w:tc>
      </w:tr>
      <w:tr>
        <w:trPr>
          <w:trHeight w:val="237"/>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12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6"/>
              </w:rPr>
              <w:t>65,978</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12,296</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18,493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30,789</w:t>
            </w: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(7,701)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(10,216)</w:t>
            </w:r>
          </w:p>
        </w:tc>
        <w:tc>
          <w:tcPr>
            <w:tcW w:w="0" w:type="dxa"/>
            <w:vAlign w:val="bottom"/>
          </w:tcPr>
          <w:p>
            <w:pPr>
              <w:spacing w:after="0"/>
              <w:rPr>
                <w:sz w:val="1"/>
                <w:szCs w:val="1"/>
                <w:color w:val="auto"/>
              </w:rPr>
            </w:pP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9,781</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10,792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6"/>
              </w:rPr>
              <w:t>20,573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when changes in circumstances indicate the carrying value of those assets may not be recoverable. There were no impairment charges for the nine months ended September 30, 2026 and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 in Joint Venture</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changes in our investment in the JV.</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earnings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16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amounts outstanding on our debt facilities.</w:t>
            </w: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7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135,251</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ABL Facility</w:t>
            </w:r>
          </w:p>
        </w:tc>
        <w:tc>
          <w:tcPr>
            <w:tcW w:w="16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 from sale-leaseback transactions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30,213</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loans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obligations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 (1)</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5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168,813</w:t>
            </w:r>
          </w:p>
        </w:tc>
        <w:tc>
          <w:tcPr>
            <w:tcW w:w="8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159,549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00" w:right="60" w:hanging="330"/>
        <w:spacing w:after="0" w:line="282" w:lineRule="auto"/>
        <w:tabs>
          <w:tab w:leader="none" w:pos="5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$0.7 million and $0.9 million related to the ABL Facility (as defined below) were recorded in Other non-current assets as of September 30, 2026 and December 31, 2025, respectively.</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capitalized interest costs of $1.0 million and $0.6 million in the nine months ended September 30, 2026 and 2025, respectively, related to construction in progress.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5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On April 16, 2025 (the “Closing Date”), we entered into a Term Loan Credit Agreement by and among the Company, the lenders from time to time party thereto (collectively, the “Lenders”) and Alter Domus (US) LLC, as administrative agent (the “Term Loan Agent”) for the Lenders (the “Term Loan Credit Agreement”). The Term Loan Credit Agreement establishes a new $128.0 million senior secured Term Loan Facility (the “Term Loan Facility”) consisting of (i) a $118.0 million term loan funded in full on the Closing Date (the “Closing Date Term Loans”) and (ii) $10.0 million of delayed draw term loan</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4"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commitments (any delayed draw term loans funded thereunder, the “Delayed Draw Term Loans”, and together, with the Closing Date Term Loans, the “Term Loans”). The Term Loans mature on April 16, 2030. We used the proceeds from the Closing Date Term Loans to repay all of our outstanding obligations under our outstanding term loan facility (</w:t>
      </w:r>
      <w:r>
        <w:rPr>
          <w:rFonts w:ascii="Times New Roman" w:cs="Times New Roman" w:eastAsia="Times New Roman" w:hAnsi="Times New Roman"/>
          <w:sz w:val="18"/>
          <w:szCs w:val="18"/>
          <w:i w:val="1"/>
          <w:iCs w:val="1"/>
          <w:color w:val="auto"/>
        </w:rPr>
        <w:t>see “2021 Term Loan” below</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Under the Term Loan Credit Agreement, interest rates on the Term Loans are determined based on the type of Term Loan, the length of the interest period, and our Consolidated Net Leverage Ratio (as defined in the Term Loan Credit Agreement). The Term Loans currently bear interest at either: 1) one-month, three-month, or six-month term secured overnight finance rate (“SOFR”) with a credit spread adjustment, subject to a 2.00% floor, plus an applicable margin ranging from 8.75% to 9.75% based on our Consolidated Net Leverage Ratio (as defined herein) (“Adjusted Term SOFR Rate Loans”); or 2) the greater of various benchmark rates, with certain adjustments, plus an applicable margin ranging from 7.75% to 8.75% based on our Consolidated Net Leverage Ratio (“Base Rate Loans”). For interest payments due before April 16, 2027, we may elect to pay a portion of interest in-kind (“PIK Election”), subject to a minimum cash interest of 5.25% for Adjusted Term SOFR Rate Loans and 4.25% for Base Rate Loans. The applicable margin increases by</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0.50% on borrowings to which the PIK Election is made. At September 30, 2026, the Term Loans bore interest, including amounts we have elected to pay as PIK interest, based on one-month Adjusted Term SOFR, at 13.75%.</w:t>
      </w:r>
    </w:p>
    <w:p>
      <w:pPr>
        <w:spacing w:after="0" w:line="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29, 2026, we borrowed $10.0 million on the Delayed Draw Term Loans. As a result of borrowing the Delayed Draw Term Loans, the applicable margin for all Term Loans increased by 0.50%. Through January 29, 2026, we incurred a 1.00% commitment fee on undrawn amounts under the Delayed Draw, payable quarterly in arrears.</w:t>
      </w:r>
    </w:p>
    <w:p>
      <w:pPr>
        <w:spacing w:after="0" w:line="6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Subject to certain exceptions, we are required to make principal payments (i) annually that are calculated as a percentage, based on our Consolidated Net Leverage Ratio, of our Excess Cash Flow (as defined in the Term Loan Credit Agreement), (ii) Net Cash Proceeds (as defined in the Term Loan Credit Agreement) of certain non-ordinary course Dispositions (as defined in the Term Loan Credit Agreement) within 10 business days of receipt thereof, and</w:t>
      </w:r>
    </w:p>
    <w:p>
      <w:pPr>
        <w:spacing w:after="0" w:line="1" w:lineRule="exact"/>
        <w:rPr>
          <w:sz w:val="20"/>
          <w:szCs w:val="20"/>
          <w:color w:val="auto"/>
        </w:rPr>
      </w:pPr>
    </w:p>
    <w:p>
      <w:pPr>
        <w:ind w:right="40" w:firstLine="8"/>
        <w:spacing w:after="0" w:line="252" w:lineRule="auto"/>
        <w:tabs>
          <w:tab w:leader="none" w:pos="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Proceeds from certain insurance events. We may voluntarily prepay the Term Loans, in whole or part without premium or penalty following April 16, 2027. If we would have voluntarily prepaid borrowings prior to April 16, 2026, we would have been subject to a prepayment premium equal to the present value at the prepayment date of (i) 2.00% of the outstanding principal amount of the Term Loans to be prepaid, plus (ii) all remaining scheduled interest payments due on such Term Loans through April 16, 2026 (excluding accrued but unpaid interest to, but not including, the prepayment date), computed using a discount rate equal to the Treasury Rate (determined as of the Business Day prior to such date of prepayment) plus 50 basis points. If we voluntarily prepay borrowings following April 16, 2026 and prior to April 16, 2027, we are subject to a prepayment premium equal to 2.00% of the principal amount prepaid.</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Term Loan Credit Agreement includes customary representations, warranties and covenants, including, but not limited to, certain financial covenants, such as maximum Consolidated Net Leverage Ratio and minimum Domestic Liquidity (as defined in the Term Loan Credit Agreement), subject, in the case of the Consolidated Net Leverage Ratio covenant, to certain equity cure rights. We were in compliance with the financial covenants of the Term Loan Facility as of September 30, 2026.</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obligations under the Term Loan Credit Agreement are guaranteed by certain of our subsidiaries and are required to be guaranteed by certain of our later formed or acquired subsidiaries (collectively, the “Guarantors”). Our obligations under the Term Loan Credit Agreement are collateralized by substantially all of our and the Guarantors’ assets. The Term Loan Agent, for itself and on behalf of the Lenders, has a first lien on all domestic assets, other than accounts receivable and inventory, and certain foreign assets and has a second lien on domestic accounts receivable and inventory.</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Credit Agreement contains customary events of default relating to, among other things, payment defaults, breach of covenants, cross acceleration to material indebtedness, bankruptcy-related defaults, judgment defaults, and the occurrence of certain change of control events. If an event of default occurs, the lenders under the Term Loan Credit Agreement will be entitled to take various actions, including the termination of any undrawn commitments and the acceleration of amounts due under the Term Loan Credit Agreement.</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 Loan Facility was issued at a $2.5 million discount and we capitalized an additional $0.7 million in debt issuance costs in 2025. In January 2026, we capitalized an additional $0.1 million in debt issuance costs as part of the borrowings under the Delayed Draw Term Loan. These costs are recorded as a direct reduction to the carrying amount of the associated long-term debt and amortized over the term of the debt.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22, 2021, we entered into a $150.0 million term loan facility (as amended from time to time, the “2021 Term Loan Facility”) which required principal payments of $0.4 million with the remaining unpaid principal amount due at the original loan maturity date of September 22, 2026. On April 16, 2025, we repaid all of our outstanding obligations under the 2021 Term Loan Facility with the proceeds from the Closing Date Term Loans. The 2021 Term Loan Facility was collateralized by all of</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assets and had a first lien on all domestic assets, other than accounts receivable and inventory and had a second lien on domestic accounts receivable and inventory.</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Outstanding borrowings on the 2021 Term Loan bore interest at either: 1) one-month, three-month, or six-month term secured overnight finance rate (“SOFR”) with a duration adjustment (“Adjusted Term SOFR”), subject to a 1.000% floor, plus an applicable margin of 6.875%, or 2) the greater of various benchmark rates plus an applicable margin of 5.875%. Beginning in the second quarter of 2023, interest was increased on a paid-in-kind basis at a rate between 1.00% and 2.00% (“PIK interest”), dependent on our net leverage ratio for the most recently reported fiscal quarter and subject to reduction upon the occurrence of certain conditions as set forth in the credit agreement governing the 2021 Term Loan Facility. At April 16, 2025, the 2021 Term Loan Facility bore interest, including PIK interest, based on one-month Adjusted Term SOFR, at 12.30%.</w:t>
      </w:r>
    </w:p>
    <w:p>
      <w:pPr>
        <w:spacing w:after="0" w:line="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2021 Term Loan Facility was issued at a $3.8 million discount and we capitalized an additional $5.5 million in debt issuance costs which were amortized over the term of the debt.</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recognized a $3.0 million loss on extinguishment in connection with the termination of the 2021 Term Loan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30, 2024, we entered into a Revolving Credit and Security Agreement by and among the Company and PNC Bank National Association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administrative agent (in such capacity, the “ABL Agent”) (as amended from time to time, including by the First Amendment to Revolving</w:t>
      </w:r>
    </w:p>
    <w:p>
      <w:pPr>
        <w:spacing w:after="0" w:line="234" w:lineRule="auto"/>
        <w:rPr>
          <w:sz w:val="20"/>
          <w:szCs w:val="20"/>
          <w:color w:val="auto"/>
        </w:rPr>
      </w:pPr>
      <w:r>
        <w:rPr>
          <w:rFonts w:ascii="Times New Roman" w:cs="Times New Roman" w:eastAsia="Times New Roman" w:hAnsi="Times New Roman"/>
          <w:sz w:val="18"/>
          <w:szCs w:val="18"/>
          <w:color w:val="auto"/>
        </w:rPr>
        <w:t>Credit and Security Agreement, dated as of April 16, 2025, the “ABL Credit Agreement”). The ABL Credit Agreement established a new $50.0 million</w:t>
      </w:r>
    </w:p>
    <w:p>
      <w:pPr>
        <w:spacing w:after="0" w:line="235" w:lineRule="auto"/>
        <w:rPr>
          <w:sz w:val="20"/>
          <w:szCs w:val="20"/>
          <w:color w:val="auto"/>
        </w:rPr>
      </w:pPr>
      <w:r>
        <w:rPr>
          <w:rFonts w:ascii="Times New Roman" w:cs="Times New Roman" w:eastAsia="Times New Roman" w:hAnsi="Times New Roman"/>
          <w:sz w:val="18"/>
          <w:szCs w:val="18"/>
          <w:color w:val="auto"/>
        </w:rPr>
        <w:t>senior secured asset backed credit facility (the “ABL Facility”) which provides for senior secured revolving loans (“Revolving Loan”) in the amount of</w:t>
      </w:r>
    </w:p>
    <w:p>
      <w:pPr>
        <w:spacing w:after="0" w:line="235" w:lineRule="auto"/>
        <w:rPr>
          <w:sz w:val="20"/>
          <w:szCs w:val="20"/>
          <w:color w:val="auto"/>
        </w:rPr>
      </w:pPr>
      <w:r>
        <w:rPr>
          <w:rFonts w:ascii="Times New Roman" w:cs="Times New Roman" w:eastAsia="Times New Roman" w:hAnsi="Times New Roman"/>
          <w:sz w:val="18"/>
          <w:szCs w:val="18"/>
          <w:color w:val="auto"/>
        </w:rPr>
        <w:t>$50.0 million, and permits the issuance of letters of credit thereunder subject to a $15.0 million sublimit. The availability under the ABL Facility is limited</w:t>
      </w:r>
    </w:p>
    <w:p>
      <w:pPr>
        <w:spacing w:after="0" w:line="235" w:lineRule="auto"/>
        <w:rPr>
          <w:sz w:val="20"/>
          <w:szCs w:val="20"/>
          <w:color w:val="auto"/>
        </w:rPr>
      </w:pPr>
      <w:r>
        <w:rPr>
          <w:rFonts w:ascii="Times New Roman" w:cs="Times New Roman" w:eastAsia="Times New Roman" w:hAnsi="Times New Roman"/>
          <w:sz w:val="18"/>
          <w:szCs w:val="18"/>
          <w:color w:val="auto"/>
        </w:rPr>
        <w:t>by a borrowing base calculation derived from accounts receivable and inventory held in the United States, less customary reserves and other items. The</w:t>
      </w:r>
    </w:p>
    <w:p>
      <w:pPr>
        <w:spacing w:after="0"/>
        <w:rPr>
          <w:sz w:val="20"/>
          <w:szCs w:val="20"/>
          <w:color w:val="auto"/>
        </w:rPr>
      </w:pPr>
      <w:r>
        <w:rPr>
          <w:rFonts w:ascii="Times New Roman" w:cs="Times New Roman" w:eastAsia="Times New Roman" w:hAnsi="Times New Roman"/>
          <w:sz w:val="18"/>
          <w:szCs w:val="18"/>
          <w:color w:val="auto"/>
        </w:rPr>
        <w:t>final maturity date of the ABL Facility is the earlier of: 1) December 30, 2029; or 2) 91 days prior to the loan maturity date of the Term Loan Facility.</w:t>
      </w:r>
    </w:p>
    <w:p>
      <w:pPr>
        <w:spacing w:after="0" w:line="20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Under the ABL Facility, Revolving Loans bear interest as either: 1) one, three or six month SOFR plus 1.50%, plus an adjustment of 0.10% (“Term SOFR Rate”); or 2) the highest of the base commercial lending rate of the lender or various benchmark rates plus an applicable margin of 0.50% or 1.00%, depending on the benchmark (“Alternative Base Rate”). At September 30, 2026, based on an Alternative Base Rate, the interest rate on outstanding borrowings under the ABL Facility was 7.50%. We incur a commitment fee of 0.25% for unused capacity under the ABL Facility and a 1.85% fee on the amount of letters of credit outstanding. We capitalized a total of $1.2 million in new debt issuance costs related to the ABL Facility.</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2026, there were no outstanding borrowings under the ABL Facility, $12.4 million of outstanding letters of credit, and $34.7 million available for future borrowings under the ABL Facility.</w:t>
      </w:r>
    </w:p>
    <w:p>
      <w:pPr>
        <w:spacing w:after="0" w:line="40" w:lineRule="exact"/>
        <w:rPr>
          <w:sz w:val="20"/>
          <w:szCs w:val="20"/>
          <w:color w:val="auto"/>
        </w:rPr>
      </w:pPr>
    </w:p>
    <w:p>
      <w:pPr>
        <w:jc w:val="both"/>
        <w:ind w:right="520"/>
        <w:spacing w:after="0" w:line="250" w:lineRule="auto"/>
        <w:rPr>
          <w:sz w:val="20"/>
          <w:szCs w:val="20"/>
          <w:color w:val="auto"/>
        </w:rPr>
      </w:pPr>
      <w:r>
        <w:rPr>
          <w:rFonts w:ascii="Times New Roman" w:cs="Times New Roman" w:eastAsia="Times New Roman" w:hAnsi="Times New Roman"/>
          <w:sz w:val="18"/>
          <w:szCs w:val="18"/>
          <w:color w:val="auto"/>
        </w:rPr>
        <w:t>The ABL Credit Agreement includes customary representations, warranties and covenants, including, but not limited to, a financial covenant as to a minimum Fixed Charge Coverage Ratio (as defined in the ABL Credit Agreement). We were in compliance with the financial covenants of the ABL Facility as of September 30, 2026.</w:t>
      </w:r>
    </w:p>
    <w:p>
      <w:pPr>
        <w:spacing w:after="0" w:line="2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obligations under the ABL Credit Agreement are guaranteed by certain of our subsidiaries and are required to be guaranteed by certain of our later formed or acquired subsidiaries. Our obligations under the ABL Credit Agreement are collateralized by substantially all of our and such guarantors’ assets. The ABL Agent, for itself and on behalf of the Lenders, has a first lien on accounts receivable and inventory.</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ABL Credit Agreement contains customary events of default relating to, among other things, payment defaults, breach of covenants, cross acceleration to material indebtedness, bankruptcy-related defaults, judgment defaults, and the occurrence of certain change of control events. If an event of default occurs, the lenders under the ABL Credit Agreement will be entitled to take various actions, including the termination of any undrawn commitments and the acceleration of amounts due under the ABL Credit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2025, we sold property for a sales price of $4.3 million and concurrent with the sale, entered into a 19-year lease agreement with the purchaser for the property. In March 2024, we sold three of our properties for an aggregate sales price of $16.9 million and concurrent with the sale, we entered into a 20-year lease agreement with the purchaser for these properties.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Since these lease agreements allow for us to exercise renewal options that extend for substantially all of the remaining economic life, we have the ability to maintain the risks and rewards of ownership. Because the transactions did not transfer control of the assets, they cannot be accounted for as sales under ASC 606. As a result, the properties remain on our Condensed Consolidated Balance Sheets and the non-land assets will continue to be depreciated over their remaining useful lives. The $21.2 million of total gross proceeds from these transactions were recognized as financing obligations as a component of long-</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term debt. The monthly lease payments, which increase 3.00% each year, are being amortized as principal payments and interest expense through 2044 based on a weighted average effective interest rate of 9.17%. We incurred $0.9 million in debt issuance costs related to these transactions, which is being amortized over the term of the debt.</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June and July 2025, we sold pieces of manufacturing equipment for an aggregate sales price of $2.7 million and entered into 3 and 5-year lease agreements with the purchaser for the equipment. In March 2024, we sold multiple pieces of manufacturing equipment for an aggregate sales price of $4.9 million. Concurrent with the sale, we entered into a 5-year lease agreement with the purchaser that includes a repurchase option for this equipment. In May 2024, we sold additional pieces of manufacturing equipment for an aggregate sales price of $3.4 million and entered into 5-year and 6-year lease agreements with the purchaser for the equipment. Since these lease agreements allow for us to exercise a purchase option, we have the ability to maintain the risks and rewards of ownership. Since the transactions did not transfer control of the assets, they cannot be accounted for as sales under ASC 606. As a result, the assets remain on our Condensed Consolidated Balance Sheets and will continue to be depreciated over their remaining useful lives. The $11.0 million of total gross proceeds from these transactions were recognized as a financing obligation as a component of long-term debt. The monthly lease payments are being amortized as principal payments and interest expense on a weighted average effective interest rate of 8.90%.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Loans &amp; Other Financing Obligations</w:t>
      </w:r>
    </w:p>
    <w:p>
      <w:pPr>
        <w:spacing w:after="0" w:line="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fixed rate debt with various financial institutions in France, Poland and China, with maturity dates between 2026 and 2033. These loans, which were obtained to fund working capital and equipment purchases, had a weighted average interest rate of 2.22% at September 30, 2026. The increase in our financing obligation reflects $1.5 million paid to vendors on our behalf for an equipment lease arrangement that had not commenced as of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Common Stock and Preferred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On June 30, 2026, the Company entered into a Securities Purchase Agreement (the “July Purchase Agreement”) with certain institutional investors (the “July Purchasers”), pursuant to which the Company agreed to sell and issue shares to the July Purchasers in a private placement transaction (the “ July Private Placement”). On July 2, 2026, the Company closed the July Private Placement, which resulted in the Company issuing 24,509,804 shares of the Company’s common stock.</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September 30, 2026, at a special meeting of stockholders (the “Special Meeting”), our stockholders approved the amendment and restatement of the Company’s Certificate of Incorporation to increase the authorized number of shares to 185,000,000 shares, consisting of 180,000,000 shares of common stock, par value $0.01 per share, and 5,000,000 shares of preferred stock, par value $0.01 per share.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22, 2021, the Company completed a private placement of 65,000 shares of newly designated Series D Perpetual Preferred Stock, with a par value of $0.01 per share (the “Series D Preferred Stock”), at a price of $1,000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to 12.0% per year. On March 22, 2026, the cash dividend rate and in-kind dividend rate increased by 2.5%, and will increase by 2.5% each year thereafter. Cash dividends are required beginning on September 30, 2027 and are limited based on terms and conditions of the Company’s outstanding credit agreements.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was amortized as a deemed dividend through March 22, 2026, which is the date the dividend rate increased to 14.5% per year. Deemed dividends adjust additional paid-in capital due to the absence of retained earnings.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Exchange, and Modification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August 5, 2026, we entered into an exchange agreement (the “Exchange Agreement”) with the sole holder of the Series D Preferred Stock (the “Holder”), and concurrently completed the following transactions: (i) we redeemed 36,750 shares for $70.0 million in cash, equal to the accreted liquidation preference of the redeemed shares, pursuant to our optional redemption right under the certificate of designation (the “Redemption”); (ii) we issued 5,500,000 shares of our common stock in exchange for 9,850 shares of Series D Preferred Stock (the “Exchange”) for a total value representing $18.8 million; and (iii) the Holder consented to a reduction of the cash dividend rate and the preference accrual rate to 10.0% per annum for the one-year period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ending August 5, 2027, after which the rates revert to the certificate of designation schedule, and agreed that if we redeem all remaining shares in full for cash with payment on or before December 31, 2026 (the “Final Redemption”), the aggregate redemption price will be reduced by $5.0 million.</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excess of the total consideration transferred, totaling $3.4 million, was recorded as a deemed dividend within additional paid-in capital and increases net loss attributable to common stockholders for the three and nine months ended September 30, 2026. Total consideration transferred includes fees associated with the transaction and the difference between the closing share price and the reference share price negotiated as part of the Exchange.</w:t>
      </w:r>
    </w:p>
    <w:p>
      <w:pPr>
        <w:spacing w:after="0" w:line="6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changes to the terms of the remaining 18,400 shares were evaluated as a modification; because the changes were not substantive and conveyed no value to the Holder, no adjustment was recorded, and the remaining shares continue to be carried at their accreted liquidation preference, with accretion recognized at the reduced 10.0% rate during the rate adjustment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costs of $0.2 million attributable to the modification were expensed as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 — Final Redemption</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October 7, 2026, we completed the Final Redemption, redeeming all 18,400 remaining outstanding shares of Series D Preferred Stock for aggregate cash consideration of approximately $30.7 million, reflecting the $5.0 million reduction to the aggregate redemption price provided under the Exchange Agreement. Following the Final Redemption, no shares of Series D Preferred Stock remain outstanding, all rights of the Holder with respect to the Series D Preferred Stock terminated, and the Series D Preferred Stock balance within mezzanine equity will be reduced to zero.</w:t>
      </w:r>
    </w:p>
    <w:p>
      <w:pPr>
        <w:spacing w:after="0" w:line="32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September 30, 2026, the carrying value of the Series D Preferred Stock shares was $35.6 million, which included $17.2 million of accumulated unpaid and deemed dividends. The following table presents the change in the Series D Preferred Stock carrying value during the 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Exchange of preferred shares for common stock</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contains supplemental cash flow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1780" w:hanging="1205"/>
        <w:spacing w:after="0"/>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112,409</w:t>
      </w:r>
    </w:p>
    <w:p>
      <w:pPr>
        <w:spacing w:after="0" w:line="36"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9,964</w:t>
      </w:r>
    </w:p>
    <w:p>
      <w:pPr>
        <w:spacing w:after="0" w:line="36"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1,986</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(70,002)</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11830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30" w:lineRule="exact"/>
        <w:rPr>
          <w:sz w:val="20"/>
          <w:szCs w:val="20"/>
          <w:color w:val="auto"/>
        </w:rPr>
      </w:pPr>
    </w:p>
    <w:p>
      <w:pPr>
        <w:ind w:left="1860" w:hanging="1285"/>
        <w:spacing w:after="0"/>
        <w:tabs>
          <w:tab w:leader="none" w:pos="1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11830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43180</wp:posOffset>
            </wp:positionV>
            <wp:extent cx="1183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22225</wp:posOffset>
            </wp:positionV>
            <wp:extent cx="1903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1"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61" w:lineRule="exact"/>
        <w:rPr>
          <w:sz w:val="20"/>
          <w:szCs w:val="20"/>
          <w:color w:val="auto"/>
        </w:rPr>
      </w:pPr>
    </w:p>
    <w:p>
      <w:pPr>
        <w:sectPr>
          <w:pgSz w:w="11900" w:h="16838" w:orient="portrait"/>
          <w:cols w:equalWidth="0" w:num="2">
            <w:col w:w="8100" w:space="720"/>
            <w:col w:w="2420"/>
          </w:cols>
          <w:pgMar w:left="320" w:top="47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6,384</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r>
      <w:tr>
        <w:trPr>
          <w:trHeight w:val="243"/>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20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20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3,404</w:t>
            </w:r>
          </w:p>
        </w:tc>
        <w:tc>
          <w:tcPr>
            <w:tcW w:w="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20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4,091</w:t>
            </w:r>
          </w:p>
        </w:tc>
        <w:tc>
          <w:tcPr>
            <w:tcW w:w="6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recognized sublease income of $2.9 million in each of the nine months ended September 30, 2026 and 2025, which is recognized in the Other operating income, net line in the Condensed Consolidated Statements of Operations and Comprehensive Income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finance lease-related assets and liabilities recorded on the Condensed Consolidated Balance Sheets.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9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Financial Statement Line Item</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04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r>
      <w:tr>
        <w:trPr>
          <w:trHeight w:val="270"/>
        </w:trPr>
        <w:tc>
          <w:tcPr>
            <w:tcW w:w="40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current liabilities</w:t>
            </w:r>
          </w:p>
        </w:tc>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non-current liabilities</w:t>
            </w:r>
          </w:p>
        </w:tc>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6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6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continue to defend our interests in this matter vigorously. The matter encompasses several lawsuits filed with the Brazilian courts requesting declaratory actions that no tax is due or seeking a stay of execution on the collection of the tax. We have obtained multiple favorable decisions and one unfavorable decision.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$2.0 million, inclusive of interest and penalties.</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Accordingly, we do not expect such losses, if any, to have a material impact on our business, operations or financial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effective tax rate was (31.9)% and (14.9)% for the three and nine months ended September 30, 2026, respectively, and (10.4)% and (11.5)% for the three and nine months ended September 30, 2025, respectively. The effective tax rate for the three and nine months ended September 30, 2026 differs from the U.S. federal statutory tax rate of 21% primarily due to the accrual of tax on non-permanently reinvested unremitted earnings of foreign subsidiaries and by limitation of the amount of tax benefit recorded for losses in certain jurisdictions where we believe it is more likely than not that a future tax benefit may not be realized.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common share.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4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(21,466)</w:t>
            </w:r>
          </w:p>
        </w:tc>
      </w:tr>
      <w:tr>
        <w:trPr>
          <w:trHeight w:val="189"/>
        </w:trPr>
        <w:tc>
          <w:tcPr>
            <w:tcW w:w="564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Adjustment for preferred stock cumulative dividends and deemed</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3"/>
        </w:trPr>
        <w:tc>
          <w:tcPr>
            <w:tcW w:w="5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dividends (1)</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(13,853)</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(10,264)</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(29,078)</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16"/>
        </w:trPr>
        <w:tc>
          <w:tcPr>
            <w:tcW w:w="5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50,222</w:t>
            </w:r>
          </w:p>
        </w:tc>
      </w:tr>
      <w:tr>
        <w:trPr>
          <w:trHeight w:val="24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participating securities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43"/>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for warrants outstanding (2)</w:t>
            </w: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calculate basic and diluted net loss per common share</w:t>
            </w: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78,109</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49,605</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59,461</w:t>
            </w: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49,373</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60"/>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bl>
    <w:p>
      <w:pPr>
        <w:spacing w:after="0" w:line="32" w:lineRule="exact"/>
        <w:rPr>
          <w:sz w:val="20"/>
          <w:szCs w:val="20"/>
          <w:color w:val="auto"/>
        </w:rPr>
      </w:pPr>
    </w:p>
    <w:p>
      <w:pPr>
        <w:ind w:left="1100" w:hanging="444"/>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deemed dividend of $3.4 million as described in Note 9.</w:t>
      </w:r>
    </w:p>
    <w:p>
      <w:pPr>
        <w:spacing w:after="0" w:line="27" w:lineRule="exact"/>
        <w:rPr>
          <w:rFonts w:ascii="Times New Roman" w:cs="Times New Roman" w:eastAsia="Times New Roman" w:hAnsi="Times New Roman"/>
          <w:sz w:val="18"/>
          <w:szCs w:val="18"/>
          <w:color w:val="auto"/>
        </w:rPr>
      </w:pPr>
    </w:p>
    <w:p>
      <w:pPr>
        <w:ind w:left="980" w:right="380" w:hanging="324"/>
        <w:spacing w:after="0" w:line="260"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that are exercisable at an exercise price of $0.01 per share are included in shares outstanding for calculation of basic earnings per share (see Note 16).</w:t>
      </w:r>
    </w:p>
    <w:p>
      <w:pPr>
        <w:spacing w:after="0" w:line="181"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tbl>
      <w:tblPr>
        <w:tblLayout w:type="fixed"/>
        <w:tblInd w:w="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2240" w:type="dxa"/>
            <w:vAlign w:val="bottom"/>
            <w:gridSpan w:val="4"/>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Borders>
              <w:bottom w:val="single" w:sz="8" w:color="auto"/>
            </w:tcBorders>
            <w:gridSpan w:val="3"/>
          </w:tcPr>
          <w:p>
            <w:pPr>
              <w:jc w:val="center"/>
              <w:ind w:left="7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6420" w:type="dxa"/>
            <w:vAlign w:val="bottom"/>
            <w:gridSpan w:val="2"/>
          </w:tcPr>
          <w:p>
            <w:pPr>
              <w:ind w:left="612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43"/>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8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36"/>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2,094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2,401</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1"/>
        </w:trPr>
        <w:tc>
          <w:tcPr>
            <w:tcW w:w="5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Stock options excluded from the calculations of diluted net loss per common share have a per share exercise price ranging from $7.93 to $24.55 for the three and nine months ended September 30, 2026. Warrants excluded from the calculation of diluted net loss per common share have a per share exercise price of $11.03 (see Note 16). Performance share units are potentially dilutive when the related performance criterion has been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Share-Based Compensation</w:t>
      </w:r>
    </w:p>
    <w:p>
      <w:pPr>
        <w:spacing w:after="0" w:line="121" w:lineRule="exact"/>
        <w:rPr>
          <w:sz w:val="20"/>
          <w:szCs w:val="20"/>
          <w:color w:val="auto"/>
        </w:rPr>
      </w:pPr>
    </w:p>
    <w:p>
      <w:pPr>
        <w:ind w:right="780"/>
        <w:spacing w:after="0" w:line="309"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tbl>
      <w:tblPr>
        <w:tblLayout w:type="fixed"/>
        <w:tblInd w:w="0" w:type="dxa"/>
        <w:tblCellMar>
          <w:top w:w="0" w:type="dxa"/>
          <w:left w:w="0" w:type="dxa"/>
          <w:bottom w:w="0" w:type="dxa"/>
          <w:right w:w="0" w:type="dxa"/>
        </w:tblCellMar>
      </w:tblPr>
      <w:tr>
        <w:trPr>
          <w:trHeight w:val="147"/>
        </w:trPr>
        <w:tc>
          <w:tcPr>
            <w:tcW w:w="40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300" w:type="dxa"/>
            <w:vAlign w:val="bottom"/>
            <w:gridSpan w:val="4"/>
          </w:tcPr>
          <w:p>
            <w:pPr>
              <w:jc w:val="right"/>
              <w:ind w:right="216"/>
              <w:spacing w:after="0" w:line="14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40" w:type="dxa"/>
            <w:vAlign w:val="bottom"/>
            <w:gridSpan w:val="4"/>
          </w:tcPr>
          <w:p>
            <w:pPr>
              <w:jc w:val="right"/>
              <w:ind w:right="695"/>
              <w:spacing w:after="0" w:line="147"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2"/>
        </w:trPr>
        <w:tc>
          <w:tcPr>
            <w:tcW w:w="4060" w:type="dxa"/>
            <w:vAlign w:val="bottom"/>
          </w:tcPr>
          <w:p>
            <w:pPr>
              <w:spacing w:after="0"/>
              <w:rPr>
                <w:sz w:val="16"/>
                <w:szCs w:val="16"/>
                <w:color w:val="auto"/>
              </w:rPr>
            </w:pPr>
          </w:p>
        </w:tc>
        <w:tc>
          <w:tcPr>
            <w:tcW w:w="2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46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4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6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5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6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4060" w:type="dxa"/>
            <w:vAlign w:val="bottom"/>
          </w:tcPr>
          <w:p>
            <w:pPr>
              <w:spacing w:after="0"/>
              <w:rPr>
                <w:sz w:val="24"/>
                <w:szCs w:val="24"/>
                <w:color w:val="auto"/>
              </w:rPr>
            </w:pPr>
          </w:p>
        </w:tc>
        <w:tc>
          <w:tcPr>
            <w:tcW w:w="246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September 30, 2026, and activity during the nine months then ended.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6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6"/>
        </w:trPr>
        <w:tc>
          <w:tcPr>
            <w:tcW w:w="7820" w:type="dxa"/>
            <w:vAlign w:val="bottom"/>
          </w:tcPr>
          <w:p>
            <w:pPr>
              <w:spacing w:after="0"/>
              <w:rPr>
                <w:sz w:val="12"/>
                <w:szCs w:val="12"/>
                <w:color w:val="auto"/>
              </w:rPr>
            </w:pPr>
          </w:p>
        </w:tc>
        <w:tc>
          <w:tcPr>
            <w:tcW w:w="1160" w:type="dxa"/>
            <w:vAlign w:val="bottom"/>
          </w:tcPr>
          <w:p>
            <w:pPr>
              <w:jc w:val="center"/>
              <w:ind w:left="428"/>
              <w:spacing w:after="0" w:line="146"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96"/>
        </w:trPr>
        <w:tc>
          <w:tcPr>
            <w:tcW w:w="78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2026</w:t>
            </w:r>
          </w:p>
        </w:tc>
        <w:tc>
          <w:tcPr>
            <w:tcW w:w="11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3"/>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8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8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62"/>
        </w:trPr>
        <w:tc>
          <w:tcPr>
            <w:tcW w:w="7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30, 2026</w:t>
            </w:r>
          </w:p>
        </w:tc>
        <w:tc>
          <w:tcPr>
            <w:tcW w:w="1160" w:type="dxa"/>
            <w:vAlign w:val="bottom"/>
            <w:tcBorders>
              <w:top w:val="single" w:sz="8" w:color="auto"/>
              <w:bottom w:val="single" w:sz="8" w:color="auto"/>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1,956</w:t>
            </w:r>
          </w:p>
        </w:tc>
        <w:tc>
          <w:tcPr>
            <w:tcW w:w="26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granted 1,095,000 shares of restricted stock to non-executive directors, officers and certain other employees. The shares of these restricted stock awards vest pro-rata generally over three years for employees and over one year for non-executive directors. Total grant date fair value of restricted stock that vested in the nine months ended September 30, 2026, was $2.1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6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September 30, 2026, and activity during the nine months then ended.</w:t>
      </w:r>
    </w:p>
    <w:tbl>
      <w:tblPr>
        <w:tblLayout w:type="fixed"/>
        <w:tblInd w:w="0" w:type="dxa"/>
        <w:tblCellMar>
          <w:top w:w="0" w:type="dxa"/>
          <w:left w:w="0" w:type="dxa"/>
          <w:bottom w:w="0" w:type="dxa"/>
          <w:right w:w="0" w:type="dxa"/>
        </w:tblCellMar>
      </w:tblPr>
      <w:tr>
        <w:trPr>
          <w:trHeight w:val="154"/>
        </w:trPr>
        <w:tc>
          <w:tcPr>
            <w:tcW w:w="7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37"/>
        </w:trPr>
        <w:tc>
          <w:tcPr>
            <w:tcW w:w="7840" w:type="dxa"/>
            <w:vAlign w:val="bottom"/>
          </w:tcPr>
          <w:p>
            <w:pPr>
              <w:spacing w:after="0"/>
              <w:rPr>
                <w:sz w:val="11"/>
                <w:szCs w:val="11"/>
                <w:color w:val="auto"/>
              </w:rPr>
            </w:pPr>
          </w:p>
        </w:tc>
        <w:tc>
          <w:tcPr>
            <w:tcW w:w="16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Nonvested PSU Awards</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right"/>
              <w:ind w:right="595"/>
              <w:spacing w:after="0" w:line="137"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3"/>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62"/>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we granted 1,124,000 PSUs to certain executive officers.</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the shares granted, 558,000 shares granted will vest, if at all, upon achievement of a specified relative total shareholder return (“TSR”), which will be measured against the TSR of a specified index during the three-year performance period that ends December 31, 2028.</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remaining 566,000 shares granted will vest, if at all, upon achievement of performance goals based on four equally weighted metrics: (i) the Company’s cumulative adjusted EBITDA, (ii) free cash flow, and (iii) net sales, in each case, during the period beginning January 1, 2026 and ending December 31, 2028, and (iv) the Company’s TSR as compared to the TSR of a specified group of peer companies during the three-year period that ends December 31, 2028.</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 portion of the PSU awards subject to performance conditions is based on the closing price of our common stock on the grant date, and the related compensation cost is recognized based on the number of shares expected to vest under the probable outcome of those conditions.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We estimated the market component grant date fair value of the PSU awards using a Monte Carlo simulation model, as the total shareholder return metric and changes in stock price are considered market conditions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Foreign Currency</w:t>
            </w:r>
          </w:p>
        </w:tc>
      </w:tr>
      <w:tr>
        <w:trPr>
          <w:trHeight w:val="195"/>
        </w:trPr>
        <w:tc>
          <w:tcPr>
            <w:tcW w:w="96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Translation</w:t>
            </w:r>
          </w:p>
        </w:tc>
      </w:tr>
      <w:tr>
        <w:trPr>
          <w:trHeight w:val="242"/>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(35,819)</w:t>
            </w:r>
          </w:p>
        </w:tc>
        <w:tc>
          <w:tcPr>
            <w:tcW w:w="20" w:type="dxa"/>
            <w:vAlign w:val="bottom"/>
            <w:shd w:val="clear" w:color="auto" w:fill="CCEEFF"/>
          </w:tcPr>
          <w:p>
            <w:pPr>
              <w:spacing w:after="0"/>
              <w:rPr>
                <w:sz w:val="21"/>
                <w:szCs w:val="21"/>
                <w:color w:val="auto"/>
              </w:rPr>
            </w:pPr>
          </w:p>
        </w:tc>
      </w:tr>
      <w:tr>
        <w:trPr>
          <w:trHeight w:val="243"/>
        </w:trPr>
        <w:tc>
          <w:tcPr>
            <w:tcW w:w="9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Borders>
              <w:bottom w:val="single" w:sz="8" w:color="auto"/>
            </w:tcBorders>
          </w:tcPr>
          <w:p>
            <w:pPr>
              <w:spacing w:after="0"/>
              <w:rPr>
                <w:sz w:val="21"/>
                <w:szCs w:val="21"/>
                <w:color w:val="auto"/>
              </w:rPr>
            </w:pPr>
          </w:p>
        </w:tc>
      </w:tr>
      <w:tr>
        <w:trPr>
          <w:trHeight w:val="262"/>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(40,588)</w:t>
            </w:r>
          </w:p>
        </w:tc>
        <w:tc>
          <w:tcPr>
            <w:tcW w:w="20" w:type="dxa"/>
            <w:vAlign w:val="bottom"/>
            <w:shd w:val="clear" w:color="auto" w:fill="CCEEFF"/>
          </w:tcPr>
          <w:p>
            <w:pPr>
              <w:spacing w:after="0"/>
              <w:rPr>
                <w:sz w:val="21"/>
                <w:szCs w:val="21"/>
                <w:color w:val="auto"/>
              </w:rPr>
            </w:pPr>
          </w:p>
        </w:tc>
      </w:tr>
      <w:tr>
        <w:trPr>
          <w:trHeight w:val="243"/>
        </w:trPr>
        <w:tc>
          <w:tcPr>
            <w:tcW w:w="9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tcBorders>
              <w:bottom w:val="single" w:sz="8" w:color="auto"/>
            </w:tcBorders>
          </w:tcPr>
          <w:p>
            <w:pPr>
              <w:spacing w:after="0"/>
              <w:rPr>
                <w:sz w:val="21"/>
                <w:szCs w:val="21"/>
                <w:color w:val="auto"/>
              </w:rPr>
            </w:pPr>
          </w:p>
        </w:tc>
      </w:tr>
      <w:tr>
        <w:trPr>
          <w:trHeight w:val="261"/>
        </w:trPr>
        <w:tc>
          <w:tcPr>
            <w:tcW w:w="9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87"/>
        </w:trPr>
        <w:tc>
          <w:tcPr>
            <w:tcW w:w="9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Foreign Currency</w:t>
            </w:r>
          </w:p>
        </w:tc>
      </w:tr>
      <w:tr>
        <w:trPr>
          <w:trHeight w:val="196"/>
        </w:trPr>
        <w:tc>
          <w:tcPr>
            <w:tcW w:w="96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20" w:type="dxa"/>
            <w:vAlign w:val="bottom"/>
          </w:tcPr>
          <w:p>
            <w:pPr>
              <w:spacing w:after="0"/>
              <w:rPr>
                <w:sz w:val="17"/>
                <w:szCs w:val="17"/>
                <w:color w:val="auto"/>
              </w:rPr>
            </w:pPr>
          </w:p>
        </w:tc>
      </w:tr>
      <w:tr>
        <w:trPr>
          <w:trHeight w:val="243"/>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(38,579)</w:t>
            </w:r>
          </w:p>
        </w:tc>
        <w:tc>
          <w:tcPr>
            <w:tcW w:w="20" w:type="dxa"/>
            <w:vAlign w:val="bottom"/>
          </w:tcPr>
          <w:p>
            <w:pPr>
              <w:spacing w:after="0"/>
              <w:rPr>
                <w:sz w:val="21"/>
                <w:szCs w:val="21"/>
                <w:color w:val="auto"/>
              </w:rPr>
            </w:pPr>
          </w:p>
        </w:tc>
      </w:tr>
      <w:tr>
        <w:trPr>
          <w:trHeight w:val="243"/>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0" w:type="dxa"/>
            <w:vAlign w:val="bottom"/>
          </w:tcPr>
          <w:p>
            <w:pPr>
              <w:spacing w:after="0"/>
              <w:rPr>
                <w:sz w:val="21"/>
                <w:szCs w:val="21"/>
                <w:color w:val="auto"/>
              </w:rPr>
            </w:pPr>
          </w:p>
        </w:tc>
      </w:tr>
      <w:tr>
        <w:trPr>
          <w:trHeight w:val="257"/>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(35,351)</w:t>
            </w:r>
          </w:p>
        </w:tc>
        <w:tc>
          <w:tcPr>
            <w:tcW w:w="20" w:type="dxa"/>
            <w:vAlign w:val="bottom"/>
          </w:tcPr>
          <w:p>
            <w:pPr>
              <w:spacing w:after="0"/>
              <w:rPr>
                <w:sz w:val="22"/>
                <w:szCs w:val="22"/>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7"/>
        </w:trPr>
        <w:tc>
          <w:tcPr>
            <w:tcW w:w="9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20" w:type="dxa"/>
            <w:vAlign w:val="bottom"/>
          </w:tcPr>
          <w:p>
            <w:pPr>
              <w:spacing w:after="0"/>
              <w:rPr>
                <w:sz w:val="21"/>
                <w:szCs w:val="21"/>
                <w:color w:val="auto"/>
              </w:rPr>
            </w:pPr>
          </w:p>
        </w:tc>
      </w:tr>
      <w:tr>
        <w:trPr>
          <w:trHeight w:val="243"/>
        </w:trPr>
        <w:tc>
          <w:tcPr>
            <w:tcW w:w="9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20" w:type="dxa"/>
            <w:vAlign w:val="bottom"/>
          </w:tcPr>
          <w:p>
            <w:pPr>
              <w:spacing w:after="0"/>
              <w:rPr>
                <w:sz w:val="21"/>
                <w:szCs w:val="21"/>
                <w:color w:val="auto"/>
              </w:rPr>
            </w:pPr>
          </w:p>
        </w:tc>
      </w:tr>
      <w:tr>
        <w:trPr>
          <w:trHeight w:val="257"/>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20" w:type="dxa"/>
            <w:vAlign w:val="bottom"/>
          </w:tcPr>
          <w:p>
            <w:pPr>
              <w:spacing w:after="0"/>
              <w:rPr>
                <w:sz w:val="22"/>
                <w:szCs w:val="22"/>
                <w:color w:val="auto"/>
              </w:rPr>
            </w:pP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2025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certain features of our preferred stock and long-term debt were bifurcated and accounted for as derivatives separately.</w:t>
      </w:r>
    </w:p>
    <w:p>
      <w:pPr>
        <w:spacing w:after="0" w:line="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conjunction with an amendment to our 2021 Term Loan in 2023, we issued warrants to purchase up to 2.0 million shares of our common stock at an exercise price of $0.01 per share (the “2023 Warrants”). The 2023 Warrants were exercisable, in full or in part, at any time prior to June 30, 2033. The 2023 Warrants included anti-dilution adjustments in the event of certain future equity issuances, stock splits, stock dividends, combinations or similar events. During the nine months ended September 30, 2026, 1,455,000 of the 2023 Warrants have been exercised on a cashless basis. As of September 30, 2026, none of the 2023 Warrants remain outstanding.</w:t>
      </w:r>
    </w:p>
    <w:p>
      <w:pPr>
        <w:spacing w:after="0" w:line="62"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In conjunction with our placement of the Series B Preferred Stock in 2019, we issued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 During the nine months ended September 30, 2026, a portion of the 2019 Warrants were cancelled resulting in a decrease of 285,000 exercisable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the liability balance of the embedded derivatives during the nine months ended September 30, 2026.</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4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37"/>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right="1060" w:hanging="328"/>
        <w:spacing w:after="0" w:line="282" w:lineRule="auto"/>
        <w:tabs>
          <w:tab w:leader="none" w:pos="7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income, net line in the Condensed Consolidated Statements of Operations and Comprehensive Income (Loss).</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fair values of the embedded derivatives within the fair value hierarchy.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3"/>
                <w:szCs w:val="13"/>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2"/>
                <w:szCs w:val="12"/>
                <w:color w:val="auto"/>
              </w:rPr>
            </w:pPr>
          </w:p>
        </w:tc>
        <w:tc>
          <w:tcPr>
            <w:tcW w:w="1320" w:type="dxa"/>
            <w:vAlign w:val="bottom"/>
          </w:tcPr>
          <w:p>
            <w:pPr>
              <w:jc w:val="center"/>
              <w:ind w:right="24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2"/>
                <w:szCs w:val="12"/>
                <w:color w:val="auto"/>
              </w:rPr>
            </w:pPr>
          </w:p>
        </w:tc>
        <w:tc>
          <w:tcPr>
            <w:tcW w:w="132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1"/>
                <w:szCs w:val="11"/>
                <w:color w:val="auto"/>
              </w:rPr>
            </w:pPr>
          </w:p>
        </w:tc>
        <w:tc>
          <w:tcPr>
            <w:tcW w:w="16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320" w:type="dxa"/>
            <w:vAlign w:val="bottom"/>
          </w:tcPr>
          <w:p>
            <w:pPr>
              <w:spacing w:after="0"/>
              <w:rPr>
                <w:sz w:val="11"/>
                <w:szCs w:val="11"/>
                <w:color w:val="auto"/>
              </w:rPr>
            </w:pPr>
          </w:p>
        </w:tc>
        <w:tc>
          <w:tcPr>
            <w:tcW w:w="1320" w:type="dxa"/>
            <w:vAlign w:val="bottom"/>
          </w:tcPr>
          <w:p>
            <w:pPr>
              <w:jc w:val="center"/>
              <w:ind w:right="242"/>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3"/>
                <w:szCs w:val="13"/>
                <w:color w:val="auto"/>
              </w:rPr>
            </w:pPr>
          </w:p>
        </w:tc>
        <w:tc>
          <w:tcPr>
            <w:tcW w:w="1320" w:type="dxa"/>
            <w:vAlign w:val="bottom"/>
          </w:tcPr>
          <w:p>
            <w:pPr>
              <w:jc w:val="center"/>
              <w:ind w:right="262"/>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6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fair value of the 2023 Warrants were determined using the observable market price of a share of our common stock, less the $0.01 per share exercise price (Level 1).</w:t>
      </w:r>
    </w:p>
    <w:p>
      <w:pPr>
        <w:spacing w:after="0" w:line="5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(Level 3). The probabilities resulted in a weighted average term of 0.2 years and 1.3 years as of September 30, 2026 and December 31, 2025,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Disclosures</w:t>
      </w:r>
    </w:p>
    <w:p>
      <w:pPr>
        <w:spacing w:after="0" w:line="6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and debt. As of September 30, 2026 and December 31, 2025, the carrying values of these financial instruments, except for debt, approximated fair value. The fair value of our debt was $159.6 million and $156.9 million, with a carrying amount of $168.8 million and $159.5 million, as of September 30, 2026 and December 31, 2025, respectively. The fair value of debt was calculated by discounting the future cash flows to its present value using prevailing market interest rates for debt with similar creditworthiness, terms and maturities (Level 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Plant Optimization Activities</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second half of 2024, we took specific steps to consolidate our footprint by identifying two manufacturing facilities to close due to volume rationalization which have reduced costs and improved operational efficiency. We ceased production activities at our Mobile Solutions plants in Juarez, Mexico, and Dowagiac, Michigan in January 2025 and March 2025, respectively. In addition, we implemented operational and cost optimization actions to reduce indirect and overhead costs. Based on recent developments, we anticipate reopening of our Juarez facility in 2027.</w:t>
      </w:r>
    </w:p>
    <w:p>
      <w:pPr>
        <w:spacing w:after="0" w:line="5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2025, we completed the facility closures and organizational changes previously announced. In connection therewith, as stated in our 2025 Annual Report, we recognized $13.4 million in charges. All costs incurred have been recognized in the Mobile Solutions segment. We expect to recognize annual benefits of approximately $5.4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plant optimization reserve activity for the nine months ended September 30, 2026.</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Severance and</w:t>
            </w:r>
          </w:p>
        </w:tc>
      </w:tr>
      <w:tr>
        <w:trPr>
          <w:trHeight w:val="195"/>
        </w:trPr>
        <w:tc>
          <w:tcPr>
            <w:tcW w:w="9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employee related</w:t>
            </w:r>
          </w:p>
        </w:tc>
      </w:tr>
      <w:tr>
        <w:trPr>
          <w:trHeight w:val="242"/>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512</w:t>
            </w:r>
          </w:p>
        </w:tc>
      </w:tr>
      <w:tr>
        <w:trPr>
          <w:trHeight w:val="243"/>
        </w:trPr>
        <w:tc>
          <w:tcPr>
            <w:tcW w:w="9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Amounts paid</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(48)</w:t>
            </w:r>
          </w:p>
        </w:tc>
      </w:tr>
      <w:tr>
        <w:trPr>
          <w:trHeight w:val="261"/>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Early Retirement Program</w:t>
      </w:r>
    </w:p>
    <w:p>
      <w:pPr>
        <w:spacing w:after="0" w:line="6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recognized $0.2 million related to an early retirement incentive program (“ERIP”) that was open to certain U.S. employees that met specified age and service requirements, and who terminated employment in 2026. The estimated total cost of the ERIP, including costs recognized in 2025, is $0.6 million with all benefit payments expected to be made in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October 1, 2026, the Company entered into a Securities Purchase Agreement (the “October Purchase Agreement”) with certain institutional investors (the “ October Purchasers”), pursuant to which the Company agreed to sell and issue to the Purchasers 11,275,605 shares (the “Shares”) of the Company’s common stock (“Common Stock”) and pre-funded warrants (the “Pre-Funded Warrants”) to purchase up to 4,824,395 shares of Common Stock (the “Pre-Funded Warrant Shares”), in a private</w:t>
      </w:r>
    </w:p>
    <w:p>
      <w:pPr>
        <w:sectPr>
          <w:pgSz w:w="11900" w:h="16838" w:orient="portrait"/>
          <w:cols w:equalWidth="0" w:num="1">
            <w:col w:w="11240"/>
          </w:cols>
          <w:pgMar w:left="320" w:top="47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placement transaction (the “October Private Placement”). The purchase price per share of Common Stock is $3.30 per share (the “Per Share Purchase Price”) and the purchase price per Pre-Funded Warrant is $3.29 (the “Per Pre-Funded Warrant Purchase Price”), for total gross proceeds of approximately $53.1 million. Each Pre-Funded Warrant has an exercise price of $0.01 per share of Common Stock, is immediately exercisable, subject to certain conditions set forth in the Pre-Funded Warrants, and will not expire. On October 5, 2026, the Company closed the October Private Placement, resulting in approximately $49.8 million of net proceeds to the Company after deducting placement agent fees and estimated offering expenses. Immediately following the issuance of the Shares, the Company had 93,744,244 shares of Common Stock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 — Final Redemption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7, 2026, we completed the Final Redemption (as defined in Note 9 - Common Stock and Preferred Stock), redeeming all 18,400 remaining outstanding shares of Series D Preferred Stock for aggregate cash consideration of approximately $30.7 million, reflecting the $5.0 million reduction to the aggregate redemption price provided under the Exchange Agreement (as defined in Note 9 - Common Stock and Preferred Stock). Following the Final Redemption, no shares of Series D Preferred Stock remain outstanding, all rights of the Holder with respect to the Series D Preferred Stock terminated, and the Series D Preferred Stock balance within mezzanine equity will be reduced to zero.</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6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is intended to help the reader understand the results of operations and financial condition of NN, Inc. and its consolidated subsidiaries for the three and nine months ended September 30, 2026. The financial information as of September 30, 2026, should be read in conjunction with the consolidated financial statements for the year ended December 31, 2025, contained in our Form 10-K for the year ended December 31, 2025 (“2025 Annual Report”), and the Condensed Consolidated Financial Statements included in this Quarterly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Forward-looking statements generally can be identified by words such as, but not limited to, “anticipates,” “believes,” “could,” “estimates,” “expects,” “intends,” “may,” “plans,” “predicts,” “projects,” “will,” and similar expressions. These include, among other things, statements relating to the future growth of NN’s business and revenues, competitive position, expected new business wins, capital expenditures, and other aspects of the Company’s business operations, financial condition, and strategies. Forward-looking statements may appear throughout this report and other documents we file with the Securities and Exchange Commission (SEC), including without limitation, the following sections: Part I, Item 2, “Management’s Discussion and Analysis of Financial Condition and Results of Operations” in this Quarterly Report on Form 10-Q and Part I, Item 1A, “Risk Factors” in our Annual Report on Form 10-K for the fiscal year ended December 31, 2025, as updated in our subsequent Quarterly Reports on Form 10-Q. These forward-looking statements are based on current expectations and assumptions that are subject to risks and uncertainties, which could cause our actual results to differ materially from those reflected in the forward-looking statements. The potential risks and uncertainties that could cause actual results to differ from the results predicted include, among others, those risks and uncertainties included under the captions “Risk Factors” and “Management’s Discussion and Analysis of Financial Condition and Results of Operations” in the Company’s filings made with the SEC, which are available on the SEC website at www.sec.gov.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 Except for per share data, percentages, or as otherwise indicated, all dollar amounts and share counts presented in the tables in this Management's Discussion and Analysis of Financial Condition and Results of Operations are in thousands.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Results</w:t>
      </w:r>
    </w:p>
    <w:p>
      <w:pPr>
        <w:spacing w:after="0" w:line="6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September 30, 2026 were $131.1 million, an increase of 26.2% compared to the same period in 2025. Loss from operations was $3.3 million, compared to $2.2 million in the prior year period. Net loss was $4.6 million, compared to $6.7 million in the prior 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Series D Preferred Stock</w:t>
      </w:r>
    </w:p>
    <w:p>
      <w:pPr>
        <w:spacing w:after="0" w:line="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third quarter and through the date of this report, we completed a series of transactions that retired all of our outstanding Series D Preferred Stock and simplified our capital structure:</w:t>
      </w:r>
    </w:p>
    <w:p>
      <w:pPr>
        <w:spacing w:after="0" w:line="54" w:lineRule="exact"/>
        <w:rPr>
          <w:sz w:val="20"/>
          <w:szCs w:val="20"/>
          <w:color w:val="auto"/>
        </w:rPr>
      </w:pPr>
    </w:p>
    <w:p>
      <w:pPr>
        <w:ind w:left="660" w:right="5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2026, we closed a private placement of 24,509,804 shares of common stock at $3.06 per share, resulting in net proceeds of $70.4 million (the “July Private Placement”).</w:t>
      </w:r>
    </w:p>
    <w:p>
      <w:pPr>
        <w:spacing w:after="0" w:line="53"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5, 2026, we entered into an Exchange Agreement with the sole holder of our Series D Preferred Stock, under which we (i) redeemed 36,750 shares for $70.0 million in cash, equal to the accreted liquidation preference; (ii) issued 5,500,000 shares of common stock in exchange for 9,850 shares, representing $18.8 million; and (iii) obtained a reduction in the cash dividend and preference accrual rate to 10.0% per annum through August 5, 2027, together with a $5.0 million reduction in the aggregate redemption price if we redeemed the remaining shares for cash on or before December 31, 2026.</w:t>
      </w:r>
    </w:p>
    <w:p>
      <w:pPr>
        <w:spacing w:after="0" w:line="75" w:lineRule="exact"/>
        <w:rPr>
          <w:rFonts w:ascii="Times New Roman" w:cs="Times New Roman" w:eastAsia="Times New Roman" w:hAnsi="Times New Roman"/>
          <w:sz w:val="18"/>
          <w:szCs w:val="18"/>
          <w:color w:val="auto"/>
        </w:rPr>
      </w:pPr>
    </w:p>
    <w:p>
      <w:pPr>
        <w:jc w:val="both"/>
        <w:ind w:left="660" w:right="2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5, 2026, subsequent to quarter-end, we closed a second private placement of 11,275,605 shares of common stock at $3.30 per share and pre-funded warrants to purchase 4,824,395 shares of common stock at $3.29 per warrant, resulting in total gross proceeds of approximately $53.1 million (the “October Private Placement”).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7, 2026, we redeemed the remaining 18,400 shares of Series D Preferred Stock for approximately $30.7 million in cash, reflecting the $5.0 million reduction. No shares of Series D Preferred Stock remain outstanding after October 7, 2026.</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of these transactions, we have eliminated the Series D Preferred Stock balance in mezzanine equity. Our common shares outstanding increased to 93,744,244 as of October 5, 2026, excluding shares issuable upon exercise of the pre-funded warrants.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Influence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influenced, and we expect will continue to influence,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Macroeconomic Conditions</w:t>
      </w:r>
    </w:p>
    <w:p>
      <w:pPr>
        <w:spacing w:after="0" w:line="63"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We continue to monitor the ongoing impacts of current macroeconomic and geopolitical events, including changing conditions from global trade negotiations and tariffs, inflationary cost pressures on metal, raw materials, and other manufacturing inputs, elevated interest rates, supply chain disruptions, and ongoing military conflicts.</w:t>
      </w:r>
    </w:p>
    <w:p>
      <w:pPr>
        <w:spacing w:after="0" w:line="24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Global trade negotiations continue to create volatility in the marketplace. New trade restrictions and/or increases in tariffs could have a material impact on our business, financial condition, or results of operations by increasing our input costs and decreasing demand, although the nature of those trade</w:t>
      </w:r>
    </w:p>
    <w:p>
      <w:pPr>
        <w:spacing w:after="0" w:line="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restrictions and tariffs remains unclear. Additionally, tariffs may increase the risk for elevated inflation more generally, which may drive an increase in other input costs and have made it more difficult to procure precious metals and other raw materials. In particular, prices for commodities and certain metals, including, but not limited to, steel, copper, and precious metals, have recently shown increased volatility. Significant price increases for these commodities and precious metals have, and could continue to have, an adverse effect on our liquidity and operating profits if we cannot timely mitigate the price increases by successfully sourcing lower cost commodities or precious metals or by passing the increased costs on to customers.</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cannot predict the future impact on our end markets or input costs, including tariffs and their potential implications and ramifications, nor our ability to recover all cost increases, including the cost of raw materials, through pricing or the timing of such recoveries.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Footprint Optimization</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half of 2024, we identified two manufacturing facilities to close due to volume rationalization which have reduced costs and improved operational efficiency. During the first quarter of 2025, we ceased production activities at our Mobile Solutions plants in Juarez, Mexico and Dowagiac, Michigan. In addition, we implemented operational and cost optimization actions to reduce indirect and overhead costs. Based on recent developments, we anticipate reopening of our Juarez facility in 2027. We continue to evaluate our global footprint, which may result in further consolidation actions to further improve our overall cost structure.</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the Three Months Ended September 30,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99"/>
              </w:rPr>
              <w:t>$ Change</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26,420</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4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3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$27.2 million, or 26.2%, during the three months ended September 30,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higher selling prices, reflecting the pass-through of increased raw material costs to customers, higher volumes, and favorable foreign exchange effects.</w:t>
      </w:r>
    </w:p>
    <w:p>
      <w:pPr>
        <w:spacing w:after="0" w:line="201"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$26.4 million, or 30.6%, during the three months ended September 30,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higher volumes and higher labor costs associated with increasing headcount to support new business.</w:t>
      </w:r>
    </w:p>
    <w:p>
      <w:pPr>
        <w:spacing w:after="0" w:line="37"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$2.2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three months ended September 30, 2025, primarily due to higher professional fees driven by the various strategic initiatives during the quarter.</w:t>
      </w:r>
    </w:p>
    <w:p>
      <w:pPr>
        <w:spacing w:after="0" w:line="20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increased by $0.2 million during the three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2025, primarily due to the impact of capital expenditures placed in service in the current and prior year.</w:t>
      </w:r>
    </w:p>
    <w:p>
      <w:pPr>
        <w:spacing w:after="0" w:line="199"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by $0.2 million during the three months ended September 30,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higher capitalized interest and lower interest on our ABL facility.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1"/>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increased by $2.8 million during the three months ended September 30,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a gain from a favorable value added tax (“VAT”) ruling in Brazil.</w:t>
      </w:r>
    </w:p>
    <w:p>
      <w:pPr>
        <w:spacing w:after="0" w:line="3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Our effective tax rate was (31.9)% for the three months ended September 30, 2026, compared to (10.4)%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The rate for the three months ended September 30, 2026 was unfavorably impacted due to the accrual of tax on non-permanently reinvested unremitted earnings of foreign subsidiaries and by the limitation of the amount of tax benefit recorded for losses in certain jurisdictions where we believe it is more likely than not that a future tax benefit may not be realized.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Wuxi Weifu Autocam Precision Machinery Company, Ltd. joint venture (the “JV”)</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by $1.2 million during the three months ended September 30, 2026, compared to the three months ended September 30, 2025. The JV,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a 49% investment, recognized net sales of $37.8 million and $33.3 million for the three months ended September 30, 2026 and 2025,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68,177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59,117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(6,288)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(2,854)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r>
    </w:tbl>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sales increased by $9.1 million, or 15.3%, during the three months ended September 30, 2026, compared to the three months ended September 30, 2025, primarily due to higher volumes and favorable foreign exchange effects.</w:t>
      </w:r>
    </w:p>
    <w:p>
      <w:pPr>
        <w:spacing w:after="0" w:line="175"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Loss from operations increased by $3.4 million or 120.3% during the three months ended September 30, 2026, compared to the same period in the prior year. The increase was primarily due to higher costs from volume increases, increased labor costs due to the start-up of new programs, material cost increases, depreciation expense, and repairs and maintenance increases.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6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w w:val="99"/>
              </w:rPr>
              <w:t>$ Change</w:t>
            </w:r>
          </w:p>
        </w:tc>
      </w:tr>
      <w:tr>
        <w:trPr>
          <w:trHeight w:val="2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w:t>
            </w:r>
          </w:p>
        </w:tc>
      </w:tr>
    </w:tbl>
    <w:p>
      <w:pPr>
        <w:spacing w:after="0" w:line="171" w:lineRule="exact"/>
        <w:rPr>
          <w:sz w:val="20"/>
          <w:szCs w:val="20"/>
          <w:color w:val="auto"/>
        </w:rPr>
      </w:pPr>
    </w:p>
    <w:p>
      <w:pPr>
        <w:jc w:val="both"/>
        <w:ind w:right="360"/>
        <w:spacing w:after="0" w:line="250" w:lineRule="auto"/>
        <w:rPr>
          <w:sz w:val="20"/>
          <w:szCs w:val="20"/>
          <w:color w:val="auto"/>
        </w:rPr>
      </w:pPr>
      <w:r>
        <w:rPr>
          <w:rFonts w:ascii="Times New Roman" w:cs="Times New Roman" w:eastAsia="Times New Roman" w:hAnsi="Times New Roman"/>
          <w:sz w:val="18"/>
          <w:szCs w:val="18"/>
          <w:color w:val="auto"/>
        </w:rPr>
        <w:t>Net sales increased by $18.2 million, or 40.6%, during the three months ended September 30, 2026 compared to the three months ended September 30, 2025, primarily due to higher selling prices, reflecting the pass-through of increased raw material costs to customers, increased volumes, and favorable foreign exchange impacts.</w:t>
      </w:r>
    </w:p>
    <w:p>
      <w:pPr>
        <w:spacing w:after="0" w:line="21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$3.8 million during the three months ended September 30, 2026 compared to the same period in the prior year, primarily due to higher selling prices and increased volumes. This increase was partially offset by higher material costs and labor costs.</w:t>
      </w:r>
    </w:p>
    <w:p>
      <w:pPr>
        <w:spacing w:after="0" w:line="160" w:lineRule="exact"/>
        <w:rPr>
          <w:sz w:val="20"/>
          <w:szCs w:val="20"/>
          <w:color w:val="auto"/>
        </w:rPr>
      </w:pPr>
    </w:p>
    <w:p>
      <w:pPr>
        <w:ind w:right="4160"/>
        <w:spacing w:after="0" w:line="310" w:lineRule="auto"/>
        <w:rPr>
          <w:sz w:val="20"/>
          <w:szCs w:val="20"/>
          <w:color w:val="auto"/>
        </w:rPr>
      </w:pPr>
      <w:r>
        <w:rPr>
          <w:rFonts w:ascii="Times New Roman" w:cs="Times New Roman" w:eastAsia="Times New Roman" w:hAnsi="Times New Roman"/>
          <w:sz w:val="18"/>
          <w:szCs w:val="18"/>
          <w:i w:val="1"/>
          <w:iCs w:val="1"/>
          <w:color w:val="auto"/>
        </w:rPr>
        <w:t xml:space="preserve">Nine Months Ended September 30, 2026 compared to the Nine Months Ended September 30, 2025 </w:t>
      </w:r>
      <w:r>
        <w:rPr>
          <w:rFonts w:ascii="Times New Roman" w:cs="Times New Roman" w:eastAsia="Times New Roman" w:hAnsi="Times New Roman"/>
          <w:sz w:val="18"/>
          <w:szCs w:val="18"/>
          <w:u w:val="single" w:color="auto"/>
          <w:color w:val="auto"/>
        </w:rPr>
        <w:t>Consolidated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 below)</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50,969</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 and share of net income from joint venture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w:t>
            </w: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62"/>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82"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$60.8 million, or 19.2%, during the nine months ended September 30, 2026,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higher selling prices, reflecting the pass-through of increased raw material costs to customers, higher volumes, and favorable foreign exchange effects.</w:t>
      </w:r>
    </w:p>
    <w:p>
      <w:pPr>
        <w:spacing w:after="0" w:line="20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$51.0 million, or 19.0%, during the nine months ended September 30, 2026,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raw material price increases, higher volumes, and higher labor costs due to headcount.</w:t>
      </w:r>
    </w:p>
    <w:p>
      <w:pPr>
        <w:spacing w:after="0" w:line="186"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$4.8 million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nine months ended September 30, 2025, primarily due to higher compensation costs and professional fees.</w:t>
      </w:r>
    </w:p>
    <w:p>
      <w:pPr>
        <w:spacing w:after="0" w:line="17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increased by $1.1 million during the nine months ended September 30, 2026,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2025, primarily due to the impact of capital expenditures placed in service in the current and prior year.</w:t>
      </w:r>
    </w:p>
    <w:p>
      <w:pPr>
        <w:spacing w:after="0" w:line="1"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$0.4 million during the nine months ended September 30, 2026,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primarily due to higher average debt balances offset by lower amortization of debt issuance costs and higher capitalized interest.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8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w:t>
            </w: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62"/>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16,956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w:t>
      </w:r>
      <w:r>
        <w:rPr>
          <w:rFonts w:ascii="Times New Roman" w:cs="Times New Roman" w:eastAsia="Times New Roman" w:hAnsi="Times New Roman"/>
          <w:sz w:val="18"/>
          <w:szCs w:val="18"/>
          <w:color w:val="auto"/>
        </w:rPr>
        <w:t>Loss on extinguishment of debt was $3.0 million during the nine months ended September 30, 2025 due to the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2021 Term Loan Facility. No debt extinguishment has occurred during the nine months ended September 30, 2026.</w:t>
      </w:r>
    </w:p>
    <w:p>
      <w:pPr>
        <w:spacing w:after="0" w:line="172"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changed unfavorably by $0.2 million during the nine months ended September 30, 2026,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primarily due to noncash derivative mark-to-market loss recognized during the first nine months of 2026 compared to noncash derivative mark-to-market gain in the first nine months of 2025. The derivative mark-to-market loss is offset by a gain from a favorable VAT tax ruling in Brazil.</w:t>
      </w:r>
    </w:p>
    <w:p>
      <w:pPr>
        <w:spacing w:after="0" w:line="191"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Our effective tax rate was (14.9)% for the nine months ended September 30, 2026, compared to (11.5)%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The rate for the nine months ended September 30, 2026 was unfavorably impacted due to the accrual of tax on non-permanently reinvested unremitted earnings of foreign subsidiaries and by the limitation of the amount of tax benefit recorded for losses in certain jurisdictions where we believe it is more likely than not that a future tax benefit may not be realized.</w:t>
      </w:r>
    </w:p>
    <w:p>
      <w:pPr>
        <w:spacing w:after="0" w:line="218" w:lineRule="exact"/>
        <w:rPr>
          <w:sz w:val="20"/>
          <w:szCs w:val="20"/>
          <w:color w:val="auto"/>
        </w:rPr>
      </w:pPr>
    </w:p>
    <w:p>
      <w:pPr>
        <w:jc w:val="both"/>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by $1.2 million during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2025. The JV, in which we own a 49% investment, recognized net sales of $108.8 million and $97.7 million for the nine months ended September 30, 2026 and 2025,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197,880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13,128</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(3,659)</w:t>
            </w:r>
          </w:p>
        </w:tc>
      </w:tr>
    </w:tbl>
    <w:p>
      <w:pPr>
        <w:spacing w:after="0" w:line="22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Net sales increased by $13.1 million, or 7.1%, during the nine months ended September 30, 2026, compared to the nine months ended September 30, 2025, primarily due to higher sales volume, favorable foreign currency effects, which was partially offset by the impact of rationalization actions taken in 2025 to improve profitability.</w:t>
      </w:r>
    </w:p>
    <w:p>
      <w:pPr>
        <w:spacing w:after="0" w:line="21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Loss from operations increased by $3.7 million or 55.0% during the nine months ended September 30, 2026 compared to the nine months ended September 30, 2025, primarily related to raw material cost increases and higher labor costs associated with</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headcount. These were partially offset by lower costs due to plant rationalization benefits and favorable foreign exchange effects.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180,871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w:t>
            </w:r>
          </w:p>
        </w:tc>
      </w:tr>
      <w:tr>
        <w:trPr>
          <w:trHeight w:val="24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w:t>
            </w:r>
          </w:p>
        </w:tc>
      </w:tr>
    </w:tbl>
    <w:p>
      <w:pPr>
        <w:spacing w:after="0" w:line="22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Net sales increased by $47.8 million, or 35.9%, during the nine months ended September 30, 2026, compared to the nine months ended September 30, 2025, primarily due to higher selling prices, reflecting the pass-through of increased raw material costs to customers, higher volumes, and favorable foreign exchange impacts.</w:t>
      </w:r>
    </w:p>
    <w:p>
      <w:pPr>
        <w:spacing w:after="0" w:line="2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Income from operations increased by $10.3 million during the nine months ended September 30, 2026 compared to the same period in the prior year, primarily due to higher selling prices and higher volumes. These were partially offset by increased employee-related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 December 31, 2025 to September 30,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5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Cash provided by operations was $16.9 million for the nine months ended September 30, 2026, compared to cash provided by operations of $7.1 million for the nine months ended September 30, 2025. The favorable change is primarily due to a $12.7 million collection of a tax refund claim and other favorable operating impacts.</w:t>
      </w:r>
    </w:p>
    <w:p>
      <w:pPr>
        <w:spacing w:after="0" w:line="2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$14.8 million for the nine months ended September 30, 2026, compared with $9.2 million for the nine months ended September 30, 2025. The higher use of cash is primarily due to additional purchases of equipment.</w:t>
      </w:r>
    </w:p>
    <w:p>
      <w:pPr>
        <w:spacing w:after="0" w:line="189"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Cash used in financing activities decreased by $3.0 million during the nine months ended September 30, 2026, compared with the same period in 2025. During the nine months ended September 30, 2026, we received $69.4 million of net proceeds from the issuance of common stock in the July Private</w:t>
      </w:r>
    </w:p>
    <w:p>
      <w:pPr>
        <w:spacing w:after="0" w:line="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Placement, which funded the $70.0 million redemption of Series D Preferred Stock in August 2026. The improvement in cash used is primarily due to $10.0 million of proceeds from the Delayed Draw Term Loan, partially offset by net repayments under our ABL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52"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As of September 30, 2026, our primary sources of liquidity were cash and cash equivalents, availability under our ABL Facility, and cash flows from operating activities. On October 5, 2026, we received net proceeds of approximately $49.8 million from the closing of the October Private Placement. On October 7, 2026, we redeemed the remaining 18,400 shares of Series D Preferred Stock for an aggregate cash consideration of approximately $30.7 million. We believe that the execution of these transactions will help support our long-term liquidity.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our current cash position, anticipated cash flows from operating activities, and anticipated borrowing capacity under the ABL Facility, we believe we will have sufficient liquidity to fund our operations, capital expenditures, and debt service requirements for the next 12 months. Our ability to meet these requirements is subject to the factors described in Item 1A, "Risk Factors," in our 2025 Annual Report, including the level and timing of future cash flows, prevailing economic conditions, and restrictions under our credit agreements.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had total available liquidity of:</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9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r>
      <w:tr>
        <w:trPr>
          <w:trHeight w:val="243"/>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Undrawn Commitments</w:t>
            </w:r>
          </w:p>
        </w:tc>
        <w:tc>
          <w:tcPr>
            <w:tcW w:w="3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34,689</w:t>
            </w:r>
          </w:p>
        </w:tc>
      </w:tr>
      <w:tr>
        <w:trPr>
          <w:trHeight w:val="262"/>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Availability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and credit facilities descriptions in Note 8 are incorporated in this section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covenants as of September 30, 2026.</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Management</w:t>
      </w:r>
    </w:p>
    <w:p>
      <w:pPr>
        <w:spacing w:after="0" w:line="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manage our liquidity and working capital to fund our operations, meet debt service obligations, finance capital expenditures and fund other business initiatives. The cost of raw materials, primarily for steel, copper and precious metals is subject to price volatility due to tariffs, supply chain constraints and market supply and demand. A significant increase in the prices we pay for raw materials may cause our working capital needs to increase, which could reduce our liquidity and borrowing availability.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Sales Programs</w:t>
      </w:r>
    </w:p>
    <w:p>
      <w:pPr>
        <w:spacing w:after="0" w:line="6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participate in programs established by our customers and financial institutions which allow us to sell certain receivables from customers on a non-recourse basis to a third-party financial institution. In exchange, we receive payment on the receivables, less a discount, sooner than under the customary credit terms we have extended to customers. These programs allow us to improve working capital and cash flows at the same or lower interest rates as available on our ABL Facility. Our participation in these programs is based on our specific cash needs throughout the year, the discount charged to receive payment earlier, the length of the payment terms with our customers, as well being subject to limits in our ABL Facility and Term Loan Facility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2021, we filed a refund claim with the IRS as a result of the Coronavirus Aid, Relief, and Economic Security Act (the “CARES Act”). In May 2026, we received a refund check of $12.7 million in full payment of our claim, including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In addition, our consolidated net sales in the fourth quarter are typically lower than in other quarters. As such, our results for any particular quarter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6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including the assumptions and judgments underlying them, are disclosed in Note 1 of the Notes to Consolidated Financial Statements included in the 2025 Annual Report. Our most critical accounting estimates are discussed in the Management’s Discussion and Analysis of Financial Condition and Results of Operations included in the 2025 Annual Report. There have been no material changes to our significant accounting policies or critical accounting estimates during the nine months ended September 30, 2026.</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2026, we had $135.3 million of principal outstanding under the Term Loan Facility without regard to capitalized debt issuance costs. A one-percent increase in one-month SOFR would have resulted in a net increase in interest expense of $1.4 million on an annualized basis.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based on the Alternative Base Rate, the average interest rate on outstanding borrowings under the ABL Facility was 7.50%.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6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Various strategies to manage this risk are available to management, including producing and selling in local currencies and hedging programs. We did not hold a position in any foreign currency derivatives as of September 30, 2026.</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September 30, 2026,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7"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6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disclosed in Note 11 in the Notes to Condensed Consolidated Financial Statements included in this Quarterly Report, we are engaged in certain legal proceedings, and the disclosure set forth in Note 11 relating to legal proceedings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the 2025 Annual Report under Item 1A, “Risk Factors.”</w:t>
      </w:r>
    </w:p>
    <w:p>
      <w:pPr>
        <w:spacing w:after="0" w:line="117"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risk factors under "Risks Related to Our Capital Structure" and "The price of our common stock may be volatile" in Item 1A, "Risk Factors" in our 2025 Annual Report, including those relating to our indebtedness and potential future equity issuances, should be read in conjunction with “Item 2 Unregistered Sales of Equity Securities and Use of Proceeds” below and Note 18, "Subsequent Events," to the Condensed Consolidated Financial Statements in this Quarterly Report, which describes the recent private placement described in Item 2 below.</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6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Except for the issuances of unregistered securities previously disclosed in (i) our Current Report on Form 8-K filed with the SEC on July 1, 2026 and (ii) Part II Item 2 in our Quarterly Report on Form 10-Q for the quarter ended June 30, 2026 filed with the SEC on August 5, 2026, during the three months ended September 30, 2026, there were no unregistered sales of securities.</w:t>
      </w:r>
    </w:p>
    <w:p>
      <w:pPr>
        <w:spacing w:after="0" w:line="189"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with the SEC on October 5, 2026, we issued 11,275,605 shares of our common stock and pre-funded warrants to purchase up to 4,824,395 shares of Common Stock in a private placement transaction with certain institutional investors in reliance on Section 4(a)(2) of the Securities Act of 1933, as amended and Rule 506 of Regulation D promulgated thereunder.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September 30, 2026.</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39"/>
        </w:trPr>
        <w:tc>
          <w:tcPr>
            <w:tcW w:w="2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Shares Purchased</w:t>
            </w:r>
          </w:p>
        </w:tc>
        <w:tc>
          <w:tcPr>
            <w:tcW w:w="1860" w:type="dxa"/>
            <w:vAlign w:val="bottom"/>
          </w:tcPr>
          <w:p>
            <w:pPr>
              <w:jc w:val="center"/>
              <w:ind w:left="228"/>
              <w:spacing w:after="0" w:line="139"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3400" w:type="dxa"/>
            <w:vAlign w:val="bottom"/>
            <w:vMerge w:val="restart"/>
          </w:tcPr>
          <w:p>
            <w:pPr>
              <w:jc w:val="center"/>
              <w:ind w:left="1608"/>
              <w:spacing w:after="0"/>
              <w:rPr>
                <w:sz w:val="20"/>
                <w:szCs w:val="20"/>
                <w:color w:val="auto"/>
              </w:rPr>
            </w:pPr>
            <w:r>
              <w:rPr>
                <w:rFonts w:ascii="Times New Roman" w:cs="Times New Roman" w:eastAsia="Times New Roman" w:hAnsi="Times New Roman"/>
                <w:sz w:val="14"/>
                <w:szCs w:val="14"/>
                <w:color w:val="auto"/>
              </w:rPr>
              <w:t>Total Number of</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Average Price Paid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 Part of Publicly</w:t>
            </w:r>
          </w:p>
        </w:tc>
        <w:tc>
          <w:tcPr>
            <w:tcW w:w="18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4"/>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Period</w:t>
            </w:r>
          </w:p>
        </w:tc>
        <w:tc>
          <w:tcPr>
            <w:tcW w:w="340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1860" w:type="dxa"/>
            <w:vAlign w:val="bottom"/>
          </w:tcPr>
          <w:p>
            <w:pPr>
              <w:jc w:val="center"/>
              <w:ind w:left="228"/>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188"/>
        </w:trPr>
        <w:tc>
          <w:tcPr>
            <w:tcW w:w="2340" w:type="dxa"/>
            <w:vAlign w:val="bottom"/>
            <w:vMerge w:val="continue"/>
          </w:tcPr>
          <w:p>
            <w:pPr>
              <w:spacing w:after="0"/>
              <w:rPr>
                <w:sz w:val="16"/>
                <w:szCs w:val="16"/>
                <w:color w:val="auto"/>
              </w:rPr>
            </w:pPr>
          </w:p>
        </w:tc>
        <w:tc>
          <w:tcPr>
            <w:tcW w:w="3400" w:type="dxa"/>
            <w:vAlign w:val="bottom"/>
          </w:tcPr>
          <w:p>
            <w:pPr>
              <w:jc w:val="center"/>
              <w:ind w:left="1588"/>
              <w:spacing w:after="0"/>
              <w:rPr>
                <w:sz w:val="20"/>
                <w:szCs w:val="20"/>
                <w:color w:val="auto"/>
              </w:rPr>
            </w:pPr>
            <w:r>
              <w:rPr>
                <w:rFonts w:ascii="Times New Roman" w:cs="Times New Roman" w:eastAsia="Times New Roman" w:hAnsi="Times New Roman"/>
                <w:sz w:val="14"/>
                <w:szCs w:val="14"/>
                <w:color w:val="auto"/>
              </w:rPr>
              <w:t xml:space="preserve">Shares Purchased </w:t>
            </w:r>
            <w:r>
              <w:rPr>
                <w:rFonts w:ascii="Times New Roman" w:cs="Times New Roman" w:eastAsia="Times New Roman" w:hAnsi="Times New Roman"/>
                <w:sz w:val="9"/>
                <w:szCs w:val="9"/>
                <w:color w:val="auto"/>
              </w:rPr>
              <w:t>(1)</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xml:space="preserve">or Programs </w:t>
            </w:r>
            <w:r>
              <w:rPr>
                <w:rFonts w:ascii="Times New Roman" w:cs="Times New Roman" w:eastAsia="Times New Roman" w:hAnsi="Times New Roman"/>
                <w:sz w:val="9"/>
                <w:szCs w:val="9"/>
                <w:color w:val="auto"/>
              </w:rPr>
              <w:t>(1)</w:t>
            </w:r>
          </w:p>
        </w:tc>
        <w:tc>
          <w:tcPr>
            <w:tcW w:w="186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20" w:type="dxa"/>
            <w:vAlign w:val="bottom"/>
            <w:tcBorders>
              <w:top w:val="single" w:sz="8" w:color="CCEEFF"/>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27" w:lineRule="exact"/>
        <w:rPr>
          <w:sz w:val="20"/>
          <w:szCs w:val="20"/>
          <w:color w:val="auto"/>
        </w:rPr>
      </w:pPr>
    </w:p>
    <w:p>
      <w:pPr>
        <w:ind w:left="660" w:right="120" w:hanging="409"/>
        <w:spacing w:after="0" w:line="261"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were withheld to pay for tax obligations due upon the vesting of share-based awards held by employees granted under the NN, Inc. Amended and Restated 2022 Omnibus Incentive Plan and prior plans (collectively the “Incentive Plans”). The Incentive Plans provide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or Termination of Trading Arrangements</w:t>
      </w:r>
    </w:p>
    <w:p>
      <w:pPr>
        <w:spacing w:after="0" w:line="6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or executive officers adopted or terminated any Rule 10b5-1 trading arrangement or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20" w:type="dxa"/>
            <w:vAlign w:val="bottom"/>
            <w:gridSpan w:val="5"/>
            <w:vMerge w:val="restart"/>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Borders>
              <w:top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100" w:type="dxa"/>
            <w:vAlign w:val="bottom"/>
            <w:tcBorders>
              <w:top w:val="single" w:sz="8" w:color="auto"/>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5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22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19"/>
                <w:szCs w:val="19"/>
                <w:color w:val="auto"/>
              </w:rPr>
            </w:pPr>
          </w:p>
        </w:tc>
        <w:tc>
          <w:tcPr>
            <w:tcW w:w="264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18"/>
                <w:szCs w:val="18"/>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5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43"/>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00" w:right="60" w:hanging="330"/>
        <w:spacing w:after="0" w:line="246" w:lineRule="auto"/>
        <w:tabs>
          <w:tab w:leader="none" w:pos="5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9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26" w:lineRule="exact"/>
        <w:rPr>
          <w:sz w:val="20"/>
          <w:szCs w:val="20"/>
          <w:color w:val="auto"/>
        </w:rPr>
      </w:pPr>
    </w:p>
    <w:p>
      <w:pPr>
        <w:ind w:left="1020" w:right="1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8" w:lineRule="exact"/>
        <w:rPr>
          <w:sz w:val="20"/>
          <w:szCs w:val="20"/>
          <w:color w:val="auto"/>
        </w:rPr>
      </w:pPr>
    </w:p>
    <w:tbl>
      <w:tblPr>
        <w:tblLayout w:type="fixed"/>
        <w:tblInd w:w="104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NN, Inc.</w:t>
            </w:r>
          </w:p>
        </w:tc>
      </w:tr>
      <w:tr>
        <w:trPr>
          <w:trHeight w:val="243"/>
        </w:trPr>
        <w:tc>
          <w:tcPr>
            <w:tcW w:w="460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Harold C. Bevis</w:t>
            </w:r>
          </w:p>
        </w:tc>
      </w:tr>
      <w:tr>
        <w:trPr>
          <w:trHeight w:val="243"/>
        </w:trPr>
        <w:tc>
          <w:tcPr>
            <w:tcW w:w="460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Harold C. Bevis</w:t>
            </w:r>
          </w:p>
        </w:tc>
      </w:tr>
      <w:tr>
        <w:trPr>
          <w:trHeight w:val="243"/>
        </w:trPr>
        <w:tc>
          <w:tcPr>
            <w:tcW w:w="460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97"/>
        </w:trPr>
        <w:tc>
          <w:tcPr>
            <w:tcW w:w="460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0"/>
        </w:trPr>
        <w:tc>
          <w:tcPr>
            <w:tcW w:w="460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52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237"/>
        </w:trPr>
        <w:tc>
          <w:tcPr>
            <w:tcW w:w="46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 Bohnert</w:t>
            </w:r>
          </w:p>
        </w:tc>
      </w:tr>
      <w:tr>
        <w:trPr>
          <w:trHeight w:val="257"/>
        </w:trPr>
        <w:tc>
          <w:tcPr>
            <w:tcW w:w="460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43"/>
        </w:trPr>
        <w:tc>
          <w:tcPr>
            <w:tcW w:w="460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4600" w:type="dxa"/>
            <w:vAlign w:val="bottom"/>
          </w:tcPr>
          <w:p>
            <w:pPr>
              <w:spacing w:after="0"/>
              <w:rPr>
                <w:sz w:val="23"/>
                <w:szCs w:val="2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240"/>
          </w:cols>
          <w:pgMar w:left="320" w:top="477" w:right="1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Harold C. Bevis, certify that:</w:t>
      </w:r>
    </w:p>
    <w:p>
      <w:pPr>
        <w:spacing w:after="0" w:line="17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H. Bohnert, certify that:</w:t>
      </w:r>
    </w:p>
    <w:p>
      <w:pPr>
        <w:spacing w:after="0" w:line="171"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2026,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Harold C. Bevis</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30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September 30, 2026, as filed with the Securities and Exchange Commission on the date hereof (the “Report”), the undersigned, in the capacity and date indicated below, hereby certifies pursuant to Rule 13a-14(b) of the Securities Exchange Act of 1934, as amended, (the “Exchange Act”) and 18 U.S.C. §1350, as adopted pursuant to §906 of the Sarbanes-Oxley Act of 2002, that, to my knowledge: (1) the Report fully complies with the requirements of Section 13(a) or 15(d) of the Exchange Act,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17145</wp:posOffset>
            </wp:positionV>
            <wp:extent cx="3549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Christopher H. Bohnert</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Roman"/>
      <w:start w:val="3"/>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2026-10-28T16:28:11Z</dcterms:created>
  <dcterms:modified xsi:type="dcterms:W3CDTF">2026-10-28T16:28:11Z</dcterms:modified>
</cp:coreProperties>
</file>