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6"/>
          <w:szCs w:val="16"/>
          <w:color w:val="003366"/>
        </w:rPr>
        <w:drawing>
          <wp:anchor simplePos="0" relativeHeight="251657728" behindDoc="1" locked="0" layoutInCell="0" allowOverlap="1">
            <wp:simplePos x="0" y="0"/>
            <wp:positionH relativeFrom="page">
              <wp:posOffset>139700</wp:posOffset>
            </wp:positionH>
            <wp:positionV relativeFrom="page">
              <wp:posOffset>88900</wp:posOffset>
            </wp:positionV>
            <wp:extent cx="7264400" cy="10515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 Registration No. 333-299433​</w:t>
      </w: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16,100,000 Shares of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This prospectus covers the offer and resale by the selling stockholders (the “Selling Stockholders”) identified in this prospectus of (i) 11,275,605 shares of our common stock, par value $0.01 per share, and</w:t>
      </w:r>
    </w:p>
    <w:p>
      <w:pPr>
        <w:ind w:left="1260" w:right="539"/>
        <w:spacing w:after="0" w:line="255" w:lineRule="auto"/>
        <w:tabs>
          <w:tab w:leader="none" w:pos="15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4,824,395 shares of our common stock issuable upon the exercise of pre-funded warrants (“Pre-Funded Warrants”). The shares and Pre-Funded Warrants were sold to the Selling Stockholders in a private placement transaction that closed on October 5, 2026 (the “Private Placement”).</w:t>
      </w:r>
    </w:p>
    <w:p>
      <w:pPr>
        <w:spacing w:after="0" w:line="105" w:lineRule="exact"/>
        <w:rPr>
          <w:sz w:val="24"/>
          <w:szCs w:val="24"/>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by the Selling Stockholders of such shares.</w:t>
      </w:r>
    </w:p>
    <w:p>
      <w:pPr>
        <w:spacing w:after="0" w:line="94" w:lineRule="exact"/>
        <w:rPr>
          <w:sz w:val="24"/>
          <w:szCs w:val="24"/>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Sales of shares of common stock by the Selling Stockholders may occur at fixed prices, at market prices prevailing at the time of sale, at prices related to prevailing market prices or at negotiated prices. The Selling Stockholders may sell the shares to or through underwriters, broker-dealers or agents, who may receive compensation in the form of discounts, concessions or commissions from the Selling Stockholders, the purchasers of the shares, or both.</w:t>
      </w:r>
    </w:p>
    <w:p>
      <w:pPr>
        <w:spacing w:after="0" w:line="116" w:lineRule="exact"/>
        <w:rPr>
          <w:sz w:val="24"/>
          <w:szCs w:val="24"/>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are paying the cost of registering the shares covered by this prospectus as well as various related expenses. The Selling Stockholders are responsible for all selling commissions, transfer taxes and other costs related to the offer and sale of their shares.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 about how the Selling Stockholders may sell or dispose of their shares.</w:t>
      </w:r>
    </w:p>
    <w:p>
      <w:pPr>
        <w:spacing w:after="0" w:line="99" w:lineRule="exact"/>
        <w:rPr>
          <w:sz w:val="24"/>
          <w:szCs w:val="24"/>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under the trading symbol “NNBR.” On October 20, 2026, the last reported sale price of our common stock was $3.55 per share.</w:t>
      </w:r>
    </w:p>
    <w:p>
      <w:pPr>
        <w:spacing w:after="0" w:line="374" w:lineRule="exact"/>
        <w:rPr>
          <w:sz w:val="24"/>
          <w:szCs w:val="24"/>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a high degree of risk. Before making an investment decision, please read the information under “Risk Factors” on page </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this prospectus and under similar headings in any amendment or supplement to this prospectus or in any filing with the Securities and Exchange Commission that is incorporated by reference herein.</w:t>
      </w:r>
    </w:p>
    <w:p>
      <w:pPr>
        <w:spacing w:after="0" w:line="95" w:lineRule="exact"/>
        <w:rPr>
          <w:sz w:val="24"/>
          <w:szCs w:val="24"/>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25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23, 2026</w:t>
      </w:r>
    </w:p>
    <w:p>
      <w:pPr>
        <w:sectPr>
          <w:pgSz w:w="11900" w:h="16838" w:orient="portrait"/>
          <w:cols w:equalWidth="0" w:num="1">
            <w:col w:w="9879"/>
          </w:cols>
          <w:pgMar w:left="580" w:top="416" w:right="1440" w:bottom="1440" w:gutter="0" w:footer="0" w:header="0"/>
        </w:sectPr>
      </w:pPr>
    </w:p>
    <w:bookmarkStart w:id="1" w:name="page2"/>
    <w:bookmarkEnd w:id="1"/>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3" w:lineRule="exact"/>
        <w:rPr>
          <w:sz w:val="20"/>
          <w:szCs w:val="20"/>
          <w:color w:val="auto"/>
        </w:rPr>
      </w:pPr>
    </w:p>
    <w:p>
      <w:pPr>
        <w:jc w:val="both"/>
        <w:ind w:left="1260"/>
        <w:spacing w:after="0"/>
        <w:tabs>
          <w:tab w:leader="none" w:pos="88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w:t>
      </w:r>
    </w:p>
    <w:p>
      <w:pPr>
        <w:sectPr>
          <w:pgSz w:w="11900" w:h="16838" w:orient="portrait"/>
          <w:cols w:equalWidth="0" w:num="1">
            <w:col w:w="9879"/>
          </w:cols>
          <w:pgMar w:left="580" w:top="106"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63" w:lineRule="exact"/>
        <w:rPr>
          <w:sz w:val="20"/>
          <w:szCs w:val="20"/>
          <w:color w:val="auto"/>
        </w:rPr>
      </w:pPr>
    </w:p>
    <w:p>
      <w:pPr>
        <w:ind w:left="1260" w:right="1420"/>
        <w:spacing w:after="0" w:line="313" w:lineRule="auto"/>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 USE OF PROCEEDS</w:t>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STOCKHOLDERS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right="1560"/>
        <w:spacing w:after="0" w:line="344" w:lineRule="auto"/>
        <w:rPr>
          <w:sz w:val="20"/>
          <w:szCs w:val="20"/>
          <w:color w:val="auto"/>
        </w:rPr>
      </w:pPr>
      <w:r>
        <w:rPr>
          <w:rFonts w:ascii="Times New Roman" w:cs="Times New Roman" w:eastAsia="Times New Roman" w:hAnsi="Times New Roman"/>
          <w:sz w:val="18"/>
          <w:szCs w:val="18"/>
          <w:u w:val="single" w:color="auto"/>
          <w:color w:val="0000EE"/>
        </w:rPr>
        <w:t>WHERE YOU CAN FIND ADDITIONAL INFORMATION INCORPORATION OF CERTAIN INFORMATION BY REFERENCE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194"/>
        </w:trPr>
        <w:tc>
          <w:tcPr>
            <w:tcW w:w="2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79"/>
              </w:rPr>
              <w:t>ii</w:t>
            </w:r>
          </w:p>
        </w:tc>
        <w:tc>
          <w:tcPr>
            <w:tcW w:w="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70"/>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70"/>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70"/>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70"/>
              </w:rPr>
              <w:t>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70"/>
              </w:rPr>
              <w:t>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16" w:lineRule="exact"/>
        <w:rPr>
          <w:sz w:val="20"/>
          <w:szCs w:val="20"/>
          <w:color w:val="auto"/>
        </w:rPr>
      </w:pPr>
    </w:p>
    <w:p>
      <w:pPr>
        <w:sectPr>
          <w:pgSz w:w="11900" w:h="16838" w:orient="portrait"/>
          <w:cols w:equalWidth="0" w:num="2">
            <w:col w:w="8180" w:space="720"/>
            <w:col w:w="9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879"/>
          </w:cols>
          <w:pgMar w:left="580" w:top="106"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(the “Registration Statement”) that we filed with the Securities and Exchange Commission (the “SEC”) using the “shelf” registration process. Under this shelf registration process, the Selling Stockholders hereunder may, from time to time in one or more offerings, sell the shares of common stock offered by them described in this prospectus.</w:t>
      </w:r>
    </w:p>
    <w:p>
      <w:pPr>
        <w:spacing w:after="0" w:line="11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on the front cover of this prospectus, any information we have incorporated by reference is accurate only as of the date of the document so incorporated and that any information in a supplement or amendment to this prospectus is accurate only as of the date of such supplement or amendment, in each case regardless of the time of delivery of this prospectus, or any sale of the shares. Our business, financial condition, results of operations and prospects may have changed since those dates.</w:t>
      </w:r>
    </w:p>
    <w:p>
      <w:pPr>
        <w:spacing w:after="0" w:line="323"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titled “Where You Can Find Additional Information.”</w:t>
      </w:r>
    </w:p>
    <w:p>
      <w:pPr>
        <w:spacing w:after="0" w:line="33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Unless otherwise stated, all references in this prospectus to “we,” “us,” “our,” “the Company,” “NN,” and similar designations, except where the context requires otherwise, refer collectively to NN, Inc. and its subsidiaries. Our name “NN,” the NN logo and other trademarks or service marks of NN, Inc. appearing in this prospectus and in any prospectus supplement or free writing prospectus and the information incorporated by reference herein or therein are the property of NN, Inc. Other trademarks, service marks or trade names appearing in this prospectus in any prospectus supplement or free writing prospectus and the information incorporated by reference herein or therein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9879"/>
          </w:cols>
          <w:pgMar w:left="580" w:top="106" w:right="1440" w:bottom="1440" w:gutter="0" w:footer="0" w:header="0"/>
        </w:sectPr>
      </w:pPr>
    </w:p>
    <w:bookmarkStart w:id="3" w:name="page4"/>
    <w:bookmarkEnd w:id="3"/>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the Private Placement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w:t>
      </w:r>
      <w:r>
        <w:rPr>
          <w:rFonts w:ascii="Times New Roman" w:cs="Times New Roman" w:eastAsia="Times New Roman" w:hAnsi="Times New Roman"/>
          <w:sz w:val="18"/>
          <w:szCs w:val="18"/>
          <w:i w:val="1"/>
          <w:iCs w:val="1"/>
          <w:u w:val="single" w:color="auto"/>
          <w:color w:val="0000EE"/>
        </w:rPr>
        <w:t>4</w:t>
      </w:r>
      <w:r>
        <w:rPr>
          <w:rFonts w:ascii="Times New Roman" w:cs="Times New Roman" w:eastAsia="Times New Roman" w:hAnsi="Times New Roman"/>
          <w:sz w:val="18"/>
          <w:szCs w:val="18"/>
          <w:i w:val="1"/>
          <w:iCs w:val="1"/>
          <w:color w:val="auto"/>
        </w:rPr>
        <w:t xml:space="preserve"> of this prospectus, as well as the information incorporated herein by reference, before making an investment decision.</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w:t>
      </w:r>
    </w:p>
    <w:p>
      <w:pPr>
        <w:spacing w:after="0" w:line="109"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Our enterprise and management structure is designed to accelerate growth and further balance our portfolio by aligning our strategic assets and businesses. Our businesses are organized into the Mobile Solutions group, which is focused on growth in the automotive, general industrial, and medical end markets, and the Power Solutions group, which is focused on growth in the electrical, general industrial, automotive, and medical end markets, and are based on the nature of the products manufactured.</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We were incorporated in Delaware in October 1980. Our principal executive offices are maintained at 6210 Ardrey Kell Road, Suite 120, Charlotte, North Carolina 28277 and our telephone number is (980) 264-4300. Our website address is www.nninc.com.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securities. We have included our website in this prospectus solely as an inactive textual reference.</w:t>
      </w: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62" w:lineRule="exact"/>
        <w:rPr>
          <w:sz w:val="20"/>
          <w:szCs w:val="20"/>
          <w:color w:val="auto"/>
        </w:rPr>
      </w:pPr>
    </w:p>
    <w:p>
      <w:pPr>
        <w:ind w:left="1280" w:right="639" w:firstLine="360"/>
        <w:spacing w:after="0" w:line="246" w:lineRule="auto"/>
        <w:rPr>
          <w:sz w:val="20"/>
          <w:szCs w:val="20"/>
          <w:color w:val="auto"/>
        </w:rPr>
      </w:pPr>
      <w:r>
        <w:rPr>
          <w:rFonts w:ascii="Times New Roman" w:cs="Times New Roman" w:eastAsia="Times New Roman" w:hAnsi="Times New Roman"/>
          <w:sz w:val="18"/>
          <w:szCs w:val="18"/>
          <w:color w:val="auto"/>
        </w:rPr>
        <w:t>On October 1, 2026, we entered into a Securities Purchase Agreement (the “Purchase Agreement”) with certain institutional investors named in this prospectus pursuant to which we agreed to sell and issue</w:t>
      </w:r>
    </w:p>
    <w:p>
      <w:pPr>
        <w:spacing w:after="0" w:line="1" w:lineRule="exact"/>
        <w:rPr>
          <w:sz w:val="20"/>
          <w:szCs w:val="20"/>
          <w:color w:val="auto"/>
        </w:rPr>
      </w:pPr>
    </w:p>
    <w:p>
      <w:pPr>
        <w:ind w:left="1280" w:right="479" w:hanging="2"/>
        <w:spacing w:after="0" w:line="242" w:lineRule="auto"/>
        <w:tabs>
          <w:tab w:leader="none" w:pos="15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11,275,605 shares of common stock at a purchase price of $3.30 per share and (ii) Pre-Funded Warrants to purchase 4,824,395 shares of common stock at a purchase price of $3.29 per Pre-Funded Warrant (which equals the per share purchase price of the common stock minus the $0.01 per share exercise price of each Pre-Funded Warrant). The Private Placement closed on October 5, 2026. The total aggregate purchase price paid by the Selling Stockholders was approximately $53 million, and we received net proceeds of approximately $50 million after deducting placement agent fees and other offering expenses.</w:t>
      </w:r>
    </w:p>
    <w:p>
      <w:pPr>
        <w:spacing w:after="0" w:line="118"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Private Placement, on October 1, 2026, we entered into a Registration Rights Agreement (the “Registration Rights Agreement”) with the Selling Stockholders named in this prospectus, pursuant to which we agreed to prepare and file, within 45 days following the date of the Registration Rights Agreement, a registration statement with the SEC to register for resale the shares of our common stock issued at the closing under the Purchase Agreement and the shares issuable upon exercise of the Pre-Funded Warrants, and to use commercially reasonable efforts to cause the registration statement to promptly become effective.</w:t>
      </w:r>
    </w:p>
    <w:p>
      <w:pPr>
        <w:spacing w:after="0" w:line="325" w:lineRule="exact"/>
        <w:rPr>
          <w:sz w:val="20"/>
          <w:szCs w:val="20"/>
          <w:color w:val="auto"/>
        </w:rPr>
      </w:pPr>
    </w:p>
    <w:p>
      <w:pPr>
        <w:jc w:val="both"/>
        <w:ind w:left="1280" w:right="419" w:firstLine="360"/>
        <w:spacing w:after="0" w:line="250"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regarding the Purchase Agreement and Registration Rights Agreement, refer </w:t>
      </w:r>
      <w:hyperlink r:id="rId12">
        <w:r>
          <w:rPr>
            <w:rFonts w:ascii="Times New Roman" w:cs="Times New Roman" w:eastAsia="Times New Roman" w:hAnsi="Times New Roman"/>
            <w:sz w:val="18"/>
            <w:szCs w:val="18"/>
            <w:color w:val="auto"/>
          </w:rPr>
          <w:t xml:space="preserve">to the summary of the Private Placement included under Item 1.01 of our </w:t>
        </w:r>
        <w:r>
          <w:rPr>
            <w:rFonts w:ascii="Times New Roman" w:cs="Times New Roman" w:eastAsia="Times New Roman" w:hAnsi="Times New Roman"/>
            <w:sz w:val="18"/>
            <w:szCs w:val="18"/>
            <w:u w:val="single" w:color="auto"/>
            <w:color w:val="0000EE"/>
          </w:rPr>
          <w:t>Current Report on Form 8-K filed</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with the SEC on October 5, 2026</w:t>
        </w:r>
        <w:r>
          <w:rPr>
            <w:rFonts w:ascii="Times New Roman" w:cs="Times New Roman" w:eastAsia="Times New Roman" w:hAnsi="Times New Roman"/>
            <w:sz w:val="18"/>
            <w:szCs w:val="18"/>
            <w:color w:val="000000"/>
          </w:rPr>
          <w:t>, which is incorporated by reference herein.</w:t>
        </w:r>
      </w:hyperlink>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 smaller reporting company and may continue to be a smaller reporting company if either</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the market value of our shares held by non-affiliates is less than $250 million on the last business day of</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79"/>
          </w:cols>
          <w:pgMar w:left="580" w:top="106"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80" w:right="519"/>
        <w:spacing w:after="0" w:line="258" w:lineRule="auto"/>
        <w:rPr>
          <w:sz w:val="20"/>
          <w:szCs w:val="20"/>
          <w:color w:val="auto"/>
        </w:rPr>
      </w:pPr>
      <w:r>
        <w:rPr>
          <w:rFonts w:ascii="Times New Roman" w:cs="Times New Roman" w:eastAsia="Times New Roman" w:hAnsi="Times New Roman"/>
          <w:sz w:val="18"/>
          <w:szCs w:val="18"/>
          <w:color w:val="auto"/>
        </w:rPr>
        <w:t>our most recently completed second fiscal quarter in our last completed fiscal year or (ii) our annual revenue was less than $100 million during the most recently completed fiscal year and the market value of our shares held by non-affiliates is less than $700 million. Specifically, as a smaller reporting company, we may choose to present only the two most recent fiscal years of audited financial statements in our Annual Report on Form 10-K and are subject to reduced disclosure obligations regarding executive compensation.</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79"/>
          </w:cols>
          <w:pgMar w:left="580" w:top="106"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offered by the Selling</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Stockholders</w:t>
      </w:r>
      <w:r>
        <w:rPr>
          <w:sz w:val="20"/>
          <w:szCs w:val="20"/>
          <w:color w:val="auto"/>
        </w:rPr>
        <w:tab/>
      </w:r>
      <w:r>
        <w:rPr>
          <w:rFonts w:ascii="Times New Roman" w:cs="Times New Roman" w:eastAsia="Times New Roman" w:hAnsi="Times New Roman"/>
          <w:sz w:val="18"/>
          <w:szCs w:val="18"/>
          <w:color w:val="auto"/>
        </w:rPr>
        <w:t>16,100,000 shares (consisting of 11,275,605 shares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 and 4,824,395 shares issuable upon exercise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Pre-Funded Warrants)</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Terms of the offering</w:t>
      </w:r>
      <w:r>
        <w:rPr>
          <w:sz w:val="20"/>
          <w:szCs w:val="20"/>
          <w:color w:val="auto"/>
        </w:rPr>
        <w:tab/>
      </w:r>
      <w:r>
        <w:rPr>
          <w:rFonts w:ascii="Times New Roman" w:cs="Times New Roman" w:eastAsia="Times New Roman" w:hAnsi="Times New Roman"/>
          <w:sz w:val="18"/>
          <w:szCs w:val="18"/>
          <w:color w:val="auto"/>
        </w:rPr>
        <w:t>The Selling Stockholders will determine when and how they</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will sell the common stock offered in this prospectus, as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described in “Plan of Distribution.”</w:t>
      </w:r>
    </w:p>
    <w:p>
      <w:pPr>
        <w:spacing w:after="0" w:line="99" w:lineRule="exact"/>
        <w:rPr>
          <w:sz w:val="20"/>
          <w:szCs w:val="20"/>
          <w:color w:val="auto"/>
        </w:rPr>
      </w:pPr>
    </w:p>
    <w:p>
      <w:pPr>
        <w:jc w:val="right"/>
        <w:ind w:right="399"/>
        <w:spacing w:after="0"/>
        <w:tabs>
          <w:tab w:leader="none" w:pos="47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not receive any proceeds from the sale of the shares of</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 covered by this prospectus.</w:t>
      </w:r>
    </w:p>
    <w:p>
      <w:pPr>
        <w:spacing w:after="0" w:line="97"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on the next page for a discussion of factors</w:t>
      </w:r>
    </w:p>
    <w:p>
      <w:pPr>
        <w:spacing w:after="0" w:line="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you should carefully consider before deciding to invest in our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Nasdaq Stock Market symbol</w:t>
      </w:r>
      <w:r>
        <w:rPr>
          <w:sz w:val="20"/>
          <w:szCs w:val="20"/>
          <w:color w:val="auto"/>
        </w:rPr>
        <w:tab/>
      </w:r>
      <w:r>
        <w:rPr>
          <w:rFonts w:ascii="Times New Roman" w:cs="Times New Roman" w:eastAsia="Times New Roman" w:hAnsi="Times New Roman"/>
          <w:sz w:val="17"/>
          <w:szCs w:val="17"/>
          <w:color w:val="auto"/>
        </w:rPr>
        <w:t>NNBR</w:t>
      </w:r>
    </w:p>
    <w:p>
      <w:pPr>
        <w:spacing w:after="0" w:line="158"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16,100,000 shares of our common stock (consisting of 11,275,605 shares of common stock and 4,824,395 shares issuable upon exercise of Pre-Funded Warrants). Our common stock is currently listed on the Nasdaq Stock Market under the symbol “NNBR.” The shares of our common stock that may be offered under this prospectus are fully paid and non-assessable. We will not receive any of the proceeds of sales by the Selling Stockholders of any of the common stock covered by this prospectus, although we will receive nominal proceeds from the exercise of the Pre-Funded Warrants if such warrants are exercised for cash.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79"/>
          </w:cols>
          <w:pgMar w:left="580" w:top="106"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any applicable prospectus supplement and any related free writing prospectus, and under similar headings in our most recent Annual Report on Form 10-K, as updated by our subsequent annual, quarterly and other reports and documents that are incorporated by reference into this prospectus and any applicable prospectus supplement before deciding whether to purchase any of our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This prospectus, each applicable prospectus supplement, and the information incorporated by reference in this prospectus and each prospectus supplement contain forward-looking statements within the meaning of Section 27A of the Securities Act of 1933, as amended (the “Securities Act”),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Forward-looking statements generally will be accompanied by words such as “anticipate,” “believe,” “could,” “estimate,” “expect,” “forecast,” “growth,” “guidance,” “intend,” “may,” “possible,” “potential,” “predict,” “project,” “trajectory,” “will” or the negative of those terms, and similar expressions that convey uncertainty of future events or outcomes.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inflationary pressures and material changes in the cost or availability of raw materials, supply chain shortages and disruptions, the availability of labor and labor disruptions along the supply chain; our dependence on certain major customers, some of whom are not parties to long- term agreements (and/or are terminable on short notice); the impact of acquisitions and divestitures, as well as expansion of end markets and product offerings; our ability to hire or retain key personnel; the restrictions contained in our debt agreements; the level of our indebtedness and our ability to obtain financing at favorable rates, if at all, or to refinance existing debt as it matures; our ability to secure, maintain or enforce patents or other appropriate protections for our intellectual property; the impact of climate change on our operations; economic, social, political and geopolitical instability, military conflict, currency fluctuation, and other risks of doing business outside of the United States; uncertainty of government policies and actions in respect to global trade and tariffs, including the potential impacts of tariffs on the United States economy, the economy of other countries in which we conduct operations and our industry; cyber liability or potential liability for breaches of our or our service providers’ information technology systems or business operations disruptions; and other risks and uncertainties set forth in documents filed, or to be filed, with the SEC. For the reasons described above, we caution against relying on any forward-looking statements, which should also be read in conjunction with the sections entitled “Business,” “Risk Factors” and “Management’s Discussion and Analysis of Financial Condition and Results of Operations” and in other sections incorporated by reference from our Annual Report on Form 10-K and Quarterly Reports on Form 10-Q, as applicable, as well as our other filings with the SEC. You should be aware that the occurrence of any of the events discussed under the heading “Risk Factors” in any applicable prospectus supplement and any documents incorporated by reference herein or therein could substantially harm our business, operating results, and financial condition and that if any of these events occurs, it could adversely affect the value of an investment in our securities.</w:t>
      </w:r>
    </w:p>
    <w:p>
      <w:pPr>
        <w:spacing w:after="0" w:line="34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cautionary statements made in this prospectus are intended to be applicable to all related forward-looking statements wherever they may appear in this prospectus or in any prospectus supplement or any documents incorporated by reference herein or therein. We urge you not to place undue reliance on these</w:t>
      </w:r>
    </w:p>
    <w:p>
      <w:pPr>
        <w:sectPr>
          <w:pgSz w:w="11900" w:h="16838" w:orient="portrait"/>
          <w:cols w:equalWidth="0" w:num="1">
            <w:col w:w="9879"/>
          </w:cols>
          <w:pgMar w:left="580" w:top="106" w:right="1440" w:bottom="1440" w:gutter="0" w:footer="0" w:header="0"/>
        </w:sect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79"/>
          </w:cols>
          <w:pgMar w:left="580" w:top="106"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forward-looking statements, which speak only as of the date they are made. Except as required by law, we assume no obligation to update our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879"/>
          </w:cols>
          <w:pgMar w:left="580" w:top="106" w:right="1440" w:bottom="1440" w:gutter="0" w:footer="0" w:header="0"/>
        </w:sectPr>
      </w:pPr>
    </w:p>
    <w:bookmarkStart w:id="8" w:name="page9"/>
    <w:bookmarkEnd w:id="8"/>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shares of our common stock held by the Selling Stockholders pursuant to this prospectus. We will receive nominal proceeds from the exercise of the Pre-Funded Warrants if such warrants are exercised for cash at the exercise price of $0.01 per share.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879"/>
          </w:cols>
          <w:pgMar w:left="580" w:top="106"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Our authorized capital stock consists of 185,000,000 shares, consisting of 180,000,000 shares of common stock, $0.01 par value per share, and 5,000,000 shares of preferred stock, $0.01 par value per share (“Preferred Stock”). Our board of directors (the “Board”) is authorized, without stockholder approval, except as required by the listing standards of the Nasdaq Stock Market, to issue additional shares of our capital stock. In addition, our board of directors may, without further action by our stockholders, designate the rights, preferences, privileges, and restrictions of our Preferred Stock in one or more series.</w:t>
      </w:r>
    </w:p>
    <w:p>
      <w:pPr>
        <w:spacing w:after="0" w:line="1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October 7, 2026, we had outstanding 93,744,210 shares of common stock.</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5"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The following description of common stock is a summary and is qualified in its entirety by reference to the actual terms and provisions contained in our Restated Certificate of Incorporation, as amended from time to time (the “Certificate of Incorporation”), and our Amended and Restated Bylaws, as amended from time to time (the “Bylaws”), each of which is filed as an exhibit to the registration statement of which this prospectus is a part. We encourage you to read our Certificate of Incorporation, our Bylaws, and the applicable provisions of the Delaware General Corporation Law (“DGCL”) for additional information.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jc w:val="both"/>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Subject to preferential rights of any other class or series of Preferred Stock, holders of common stock may receive dividends pro rata out of assets that we can legally use to pay dividends, when, as and if they are declared by our Board.</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39" w:firstLine="360"/>
        <w:spacing w:after="0" w:line="233" w:lineRule="auto"/>
        <w:rPr>
          <w:sz w:val="20"/>
          <w:szCs w:val="20"/>
          <w:color w:val="auto"/>
        </w:rPr>
      </w:pPr>
      <w:r>
        <w:rPr>
          <w:rFonts w:ascii="Times New Roman" w:cs="Times New Roman" w:eastAsia="Times New Roman" w:hAnsi="Times New Roman"/>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outstanding shares of our common stock are fully paid and nonassessable.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Absence of Other Rights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Holders of common stock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our Board, without stockholder approval, to designate and issue up to 5,000,000 shares of Preferred Stock, in one or more series and to fix the rights, preferences,</w:t>
      </w:r>
    </w:p>
    <w:p>
      <w:pPr>
        <w:sectPr>
          <w:pgSz w:w="11900" w:h="16838" w:orient="portrait"/>
          <w:cols w:equalWidth="0" w:num="1">
            <w:col w:w="9879"/>
          </w:cols>
          <w:pgMar w:left="580" w:top="106"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79"/>
          </w:cols>
          <w:pgMar w:left="580" w:top="106"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 There are currently no issued and outstanding shares of Preferred Stock.</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As of October 5, 2026, there were Pre-Funded Warrants to purchase up to 4,824,395 shares of common stock at an exercise price of $0.01 per share outstanding, which are exercisable at any time until exercised in full. In addition, as of October 5, 2026, there were warrants to purchase up to 1,215,000 shares of common stock at an exercise price of $11.03 per share outstanding, which are exercisable, in full or in part, at any time prior to December 11, 2026.</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Private Placement, we issued Pre-Funded Warrants to purchase 4,824,395 shares of common stock. The Pre-Funded Warrants have an exercise price of $0.01 per share, are immediately exercisable, and may be exercised at any time until exercised in full. The Pre-Funded Warrants may be exercised on a cashless basis. The exercise price and number of shares of common stock issuable upon exercise of the Pre-Funded Warrants are subject to adjustment for stock splits, stock dividends, reclassifications and similar events.</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holder of a Pre-Funded Warrant may not exercise the warrant to the extent that, after giving effect to the exercise, such holder (together with its affiliates and any other persons acting as a group together with such holder) would beneficially own more than 4.99% (or, at the election of the holder at the time of issuance, 9.99%) of the outstanding shares of our common stock. A holder may increase or decrease this limitation upon 61 days’ prior notice to us. However, a holder of a Pre-Funded Warrant may not exercise the warrant to the extent that, after giving effect to the exercise, such holder (together with its affiliates and any other persons acting as a group together with such holder) would beneficially own more than 19.99% of the outstanding shares of our common stock, which beneficial ownership limitation may not be amended or waived by the holder or the Company unless and until stockholder approval is obtained in accordance with Nasdaq Listing Rule 5635(b).</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subject to certain exceptions, prohibits a publicly held Delaware corporation from engaging in any business combination with any interested stockholder for a period of three years following the date that such person or entity became an interested stockholder, unless:</w:t>
      </w:r>
    </w:p>
    <w:p>
      <w:pPr>
        <w:spacing w:after="0" w:line="69" w:lineRule="exact"/>
        <w:rPr>
          <w:sz w:val="20"/>
          <w:szCs w:val="20"/>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of the corporation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the outstanding voting stock that is not owned by the interested stockholder.</w:t>
      </w:r>
    </w:p>
    <w:p>
      <w:pPr>
        <w:spacing w:after="0" w:line="2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application of Section 203 may limit the ability of stockholders to approve a transaction that they may deem to be in their best interests. In addition, Section 203 makes it more difficult for an interested</w:t>
      </w:r>
    </w:p>
    <w:p>
      <w:pPr>
        <w:sectPr>
          <w:pgSz w:w="11900" w:h="16838" w:orient="portrait"/>
          <w:cols w:equalWidth="0" w:num="1">
            <w:col w:w="9879"/>
          </w:cols>
          <w:pgMar w:left="580" w:top="106"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79"/>
          </w:cols>
          <w:pgMar w:left="580" w:top="106"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60" w:right="499"/>
        <w:spacing w:after="0" w:line="258" w:lineRule="auto"/>
        <w:rPr>
          <w:sz w:val="20"/>
          <w:szCs w:val="20"/>
          <w:color w:val="auto"/>
        </w:rPr>
      </w:pPr>
      <w:r>
        <w:rPr>
          <w:rFonts w:ascii="Times New Roman" w:cs="Times New Roman" w:eastAsia="Times New Roman" w:hAnsi="Times New Roman"/>
          <w:sz w:val="18"/>
          <w:szCs w:val="18"/>
          <w:color w:val="auto"/>
        </w:rPr>
        <w:t>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“business combination” as:</w:t>
      </w:r>
    </w:p>
    <w:p>
      <w:pPr>
        <w:spacing w:after="0" w:line="117"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0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10% or more of the assets of the corporation to or with the interested stockholder;</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which results in the issuance or transfer by the corporation of any stock of the corporation to the interested stockholder;</w:t>
      </w:r>
    </w:p>
    <w:p>
      <w:pPr>
        <w:spacing w:after="0" w:line="40"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an “interested stockholder” as any person that is:</w:t>
      </w:r>
    </w:p>
    <w:p>
      <w:pPr>
        <w:spacing w:after="0" w:line="104"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above.</w:t>
      </w:r>
    </w:p>
    <w:p>
      <w:pPr>
        <w:spacing w:after="0" w:line="144"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Corporate Governance Matters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Under our Certificate of Incorporation, directors shall be elected for a one-year term expiring at the next annual meeting. Directors elected to succeed those directors whose terms then expire shall be elected for a term of office to expire at the succeeding annual meeting after their election, with each director to hold office until his or her successor shall have been duly elected and qualified.</w:t>
      </w:r>
    </w:p>
    <w:p>
      <w:pPr>
        <w:spacing w:after="0" w:line="11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Subject to the preferential rights of any other class or series of preferred stock, any director, or the entire Board, may be removed from office at any time, with or without cause, by the affirmative vote of the holders of a majority of the voting power of all the then outstanding shares of voting stock of the Company, voting together as a single class. Our Bylaws require that stockholders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 meeting was 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stockholders of our company may be called only by: (i) the Chairman of the Board, (ii) by a majority of the Board, or (iii) the Chief Executive Officer of our Company. Our Certificate of Incorporation, as well as applicable provisions of the DGCL, provide that no action required or permitted to be taken at any annual or special meeting of our stockholders</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79"/>
          </w:cols>
          <w:pgMar w:left="580" w:top="106"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may be taken without a meeting, unless the consent of two-thirds of the voting power of the then outstanding shares of stock of the company entitled to vote on the matter is obtained. These provisions may diminish the likelihood that a potential acquirer would make an offer for our common stock or that there would otherwise be a change in control of our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462 South 4th Street, Louisville, Kentucky 40202.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Stock Market under the trading symbol “NNBR.”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79"/>
          </w:cols>
          <w:pgMar w:left="580" w:top="106"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w:t>
      </w:r>
    </w:p>
    <w:p>
      <w:pPr>
        <w:spacing w:after="0" w:line="11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Information regarding each additional Selling Stockholder, if any, will be set forth by a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1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information in the table below and the footnotes thereto regarding shares of common stock to be beneficially owned after the offering assumes the sale of all shares being offered by the Selling Stockholders under this prospectus. This information has been obtained from the Selling Stockholders. The percentage of shares owned after the offering is based on 93,744,210 shares of common stock outstanding as of October 7, 2026. In computing the number of shares of common stock beneficially owned by a Selling Stockholder and the percentage ownership of that Selling Stockholder, we deemed outstanding shares of common stock subject to Pre-Funded Warrants or other options, warrants or convertible securities held by that Selling Stockholder that are currently exercisable or exercisable within 60 days of October 7, 2026. We did not deem these shares outstanding, however, for the purpose of computing the percentage ownership of any other Selling Stockholder.</w:t>
      </w:r>
    </w:p>
    <w:p>
      <w:pPr>
        <w:spacing w:after="0" w:line="32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Except for the ownership of shares of our common stock and Pre-Funded Warrants issued pursuant to the Purchase Agreement and the registration rights granted pursuant to the Registration Rights Agreement, none of the Selling Stockholders has had any material relationship with us or any of our predecessors or affiliates within the past three years. None of the Selling Stockholders is a broker-dealer or an affiliate of a broker-dealer.</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318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r>
      <w:tr>
        <w:trPr>
          <w:trHeight w:val="162"/>
        </w:trPr>
        <w:tc>
          <w:tcPr>
            <w:tcW w:w="2380" w:type="dxa"/>
            <w:vAlign w:val="bottom"/>
          </w:tcPr>
          <w:p>
            <w:pPr>
              <w:spacing w:after="0"/>
              <w:rPr>
                <w:sz w:val="14"/>
                <w:szCs w:val="14"/>
                <w:color w:val="auto"/>
              </w:rPr>
            </w:pPr>
          </w:p>
        </w:tc>
        <w:tc>
          <w:tcPr>
            <w:tcW w:w="3180" w:type="dxa"/>
            <w:vAlign w:val="bottom"/>
          </w:tcPr>
          <w:p>
            <w:pPr>
              <w:jc w:val="center"/>
              <w:ind w:left="190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2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162"/>
        </w:trPr>
        <w:tc>
          <w:tcPr>
            <w:tcW w:w="2380" w:type="dxa"/>
            <w:vAlign w:val="bottom"/>
          </w:tcPr>
          <w:p>
            <w:pPr>
              <w:spacing w:after="0"/>
              <w:rPr>
                <w:sz w:val="14"/>
                <w:szCs w:val="14"/>
                <w:color w:val="auto"/>
              </w:rPr>
            </w:pPr>
          </w:p>
        </w:tc>
        <w:tc>
          <w:tcPr>
            <w:tcW w:w="318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r>
      <w:tr>
        <w:trPr>
          <w:trHeight w:val="162"/>
        </w:trPr>
        <w:tc>
          <w:tcPr>
            <w:tcW w:w="2380" w:type="dxa"/>
            <w:vAlign w:val="bottom"/>
          </w:tcPr>
          <w:p>
            <w:pPr>
              <w:spacing w:after="0"/>
              <w:rPr>
                <w:sz w:val="14"/>
                <w:szCs w:val="14"/>
                <w:color w:val="auto"/>
              </w:rPr>
            </w:pPr>
          </w:p>
        </w:tc>
        <w:tc>
          <w:tcPr>
            <w:tcW w:w="318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Owned Before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Owned After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w:t>
            </w:r>
          </w:p>
        </w:tc>
      </w:tr>
      <w:tr>
        <w:trPr>
          <w:trHeight w:val="245"/>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tcPr>
          <w:p>
            <w:pPr>
              <w:ind w:left="2040"/>
              <w:spacing w:after="0" w:line="245"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this Offering  </w:t>
            </w:r>
            <w:r>
              <w:rPr>
                <w:rFonts w:ascii="Times New Roman" w:cs="Times New Roman" w:eastAsia="Times New Roman" w:hAnsi="Times New Roman"/>
                <w:sz w:val="28"/>
                <w:szCs w:val="28"/>
                <w:b w:val="1"/>
                <w:bCs w:val="1"/>
                <w:color w:val="auto"/>
                <w:vertAlign w:val="subscript"/>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960" w:type="dxa"/>
            <w:vAlign w:val="bottom"/>
            <w:gridSpan w:val="2"/>
          </w:tcPr>
          <w:p>
            <w:pPr>
              <w:ind w:left="40"/>
              <w:spacing w:after="0" w:line="245"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this Offering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 Offering </w:t>
            </w:r>
            <w:r>
              <w:rPr>
                <w:rFonts w:ascii="Times New Roman" w:cs="Times New Roman" w:eastAsia="Times New Roman" w:hAnsi="Times New Roman"/>
                <w:sz w:val="28"/>
                <w:szCs w:val="28"/>
                <w:b w:val="1"/>
                <w:bCs w:val="1"/>
                <w:color w:val="auto"/>
                <w:vertAlign w:val="subscript"/>
              </w:rPr>
              <w:t>​</w:t>
            </w:r>
          </w:p>
        </w:tc>
      </w:tr>
    </w:tbl>
    <w:p>
      <w:pPr>
        <w:spacing w:after="0" w:line="1" w:lineRule="exact"/>
        <w:rPr>
          <w:sz w:val="20"/>
          <w:szCs w:val="20"/>
          <w:color w:val="auto"/>
        </w:rPr>
      </w:pPr>
    </w:p>
    <w:p>
      <w:pPr>
        <w:sectPr>
          <w:pgSz w:w="11900" w:h="16838" w:orient="portrait"/>
          <w:cols w:equalWidth="0" w:num="1">
            <w:col w:w="9879"/>
          </w:cols>
          <w:pgMar w:left="580" w:top="106"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AIGH Investment Partners, LP</w:t>
      </w:r>
      <w:r>
        <w:rPr>
          <w:rFonts w:ascii="Times New Roman" w:cs="Times New Roman" w:eastAsia="Times New Roman" w:hAnsi="Times New Roman"/>
          <w:sz w:val="23"/>
          <w:szCs w:val="23"/>
          <w:color w:val="auto"/>
          <w:vertAlign w:val="superscript"/>
        </w:rPr>
        <w:t>(1)</w:t>
      </w:r>
    </w:p>
    <w:p>
      <w:pPr>
        <w:spacing w:after="0" w:line="3" w:lineRule="exact"/>
        <w:rPr>
          <w:sz w:val="20"/>
          <w:szCs w:val="20"/>
          <w:color w:val="auto"/>
        </w:rPr>
      </w:pPr>
    </w:p>
    <w:p>
      <w:pPr>
        <w:ind w:left="1440" w:hanging="179"/>
        <w:spacing w:after="0" w:line="234" w:lineRule="auto"/>
        <w:rPr>
          <w:sz w:val="20"/>
          <w:szCs w:val="20"/>
          <w:color w:val="auto"/>
        </w:rPr>
      </w:pPr>
      <w:r>
        <w:rPr>
          <w:rFonts w:ascii="Times New Roman" w:cs="Times New Roman" w:eastAsia="Times New Roman" w:hAnsi="Times New Roman"/>
          <w:sz w:val="18"/>
          <w:szCs w:val="18"/>
          <w:color w:val="auto"/>
        </w:rPr>
        <w:t>WVP Emerging Manager Onshore Fund, LLC – AIGH Series</w:t>
      </w:r>
      <w:r>
        <w:rPr>
          <w:rFonts w:ascii="Times New Roman" w:cs="Times New Roman" w:eastAsia="Times New Roman" w:hAnsi="Times New Roman"/>
          <w:sz w:val="23"/>
          <w:szCs w:val="23"/>
          <w:color w:val="auto"/>
          <w:vertAlign w:val="superscript"/>
        </w:rPr>
        <w:t>(2)</w:t>
      </w:r>
    </w:p>
    <w:p>
      <w:pPr>
        <w:ind w:left="1260"/>
        <w:spacing w:after="0" w:line="234" w:lineRule="auto"/>
        <w:rPr>
          <w:sz w:val="20"/>
          <w:szCs w:val="20"/>
          <w:color w:val="auto"/>
        </w:rPr>
      </w:pPr>
      <w:r>
        <w:rPr>
          <w:rFonts w:ascii="Times New Roman" w:cs="Times New Roman" w:eastAsia="Times New Roman" w:hAnsi="Times New Roman"/>
          <w:sz w:val="18"/>
          <w:szCs w:val="18"/>
          <w:color w:val="auto"/>
        </w:rPr>
        <w:t>Alyeska Master Fund, L.P.</w:t>
      </w:r>
      <w:r>
        <w:rPr>
          <w:rFonts w:ascii="Times New Roman" w:cs="Times New Roman" w:eastAsia="Times New Roman" w:hAnsi="Times New Roman"/>
          <w:sz w:val="23"/>
          <w:szCs w:val="23"/>
          <w:color w:val="auto"/>
          <w:vertAlign w:val="superscript"/>
        </w:rPr>
        <w:t>(3)</w:t>
      </w:r>
    </w:p>
    <w:p>
      <w:pPr>
        <w:ind w:left="1260"/>
        <w:spacing w:after="0"/>
        <w:rPr>
          <w:sz w:val="20"/>
          <w:szCs w:val="20"/>
          <w:color w:val="auto"/>
        </w:rPr>
      </w:pPr>
      <w:r>
        <w:rPr>
          <w:rFonts w:ascii="Times New Roman" w:cs="Times New Roman" w:eastAsia="Times New Roman" w:hAnsi="Times New Roman"/>
          <w:sz w:val="18"/>
          <w:szCs w:val="18"/>
          <w:color w:val="auto"/>
        </w:rPr>
        <w:t>Polar Long/Short Master Fund</w:t>
      </w:r>
      <w:r>
        <w:rPr>
          <w:rFonts w:ascii="Times New Roman" w:cs="Times New Roman" w:eastAsia="Times New Roman" w:hAnsi="Times New Roman"/>
          <w:sz w:val="23"/>
          <w:szCs w:val="23"/>
          <w:color w:val="auto"/>
          <w:vertAlign w:val="superscript"/>
        </w:rPr>
        <w:t>(4)</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Polar Multi-Strategy Master Fund</w:t>
      </w:r>
      <w:r>
        <w:rPr>
          <w:rFonts w:ascii="Times New Roman" w:cs="Times New Roman" w:eastAsia="Times New Roman" w:hAnsi="Times New Roman"/>
          <w:sz w:val="23"/>
          <w:szCs w:val="23"/>
          <w:color w:val="auto"/>
          <w:vertAlign w:val="superscript"/>
        </w:rPr>
        <w:t>(4)</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Lytton-Kambara Foundation</w:t>
      </w:r>
      <w:r>
        <w:rPr>
          <w:rFonts w:ascii="Times New Roman" w:cs="Times New Roman" w:eastAsia="Times New Roman" w:hAnsi="Times New Roman"/>
          <w:sz w:val="23"/>
          <w:szCs w:val="23"/>
          <w:color w:val="auto"/>
          <w:vertAlign w:val="superscript"/>
        </w:rPr>
        <w:t>(5)</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Special Situations Fund III QP, L.P.</w:t>
      </w:r>
      <w:r>
        <w:rPr>
          <w:rFonts w:ascii="Times New Roman" w:cs="Times New Roman" w:eastAsia="Times New Roman" w:hAnsi="Times New Roman"/>
          <w:sz w:val="23"/>
          <w:szCs w:val="23"/>
          <w:color w:val="auto"/>
          <w:vertAlign w:val="superscript"/>
        </w:rPr>
        <w:t>(6)</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Special Situations Cayman Fund, L.P.</w:t>
      </w:r>
      <w:r>
        <w:rPr>
          <w:rFonts w:ascii="Times New Roman" w:cs="Times New Roman" w:eastAsia="Times New Roman" w:hAnsi="Times New Roman"/>
          <w:sz w:val="23"/>
          <w:szCs w:val="23"/>
          <w:color w:val="auto"/>
          <w:vertAlign w:val="superscript"/>
        </w:rPr>
        <w:t>(6)</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Funds managed by Empery Asset Management, LP</w:t>
      </w:r>
      <w:r>
        <w:rPr>
          <w:rFonts w:ascii="Times New Roman" w:cs="Times New Roman" w:eastAsia="Times New Roman" w:hAnsi="Times New Roman"/>
          <w:sz w:val="23"/>
          <w:szCs w:val="23"/>
          <w:color w:val="auto"/>
          <w:vertAlign w:val="superscript"/>
        </w:rPr>
        <w:t>(7)</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Mink Brook Partners LP</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9,047,441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3,338,778​​​</w:t>
            </w: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5,708,663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5"/>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3,029,546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1,206,677​​​</w:t>
            </w: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1,822,869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4,677,836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3,030,303​​​</w:t>
            </w: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3,156,895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2,861,315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1,515,152​​​</w:t>
            </w: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1,346,163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3,030,303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3,030,303​​​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806,573</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227,273​​​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579,300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702,456</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702,456​​​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206,634</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569,697</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569,697​​​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365,909</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365,909​​​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5380" w:space="300"/>
            <w:col w:w="4199"/>
          </w:cols>
          <w:pgMar w:left="580" w:top="106" w:right="1440" w:bottom="1440" w:gutter="0" w:footer="0" w:header="0"/>
          <w:type w:val="continuous"/>
        </w:sectPr>
      </w:pPr>
    </w:p>
    <w:p>
      <w:pPr>
        <w:spacing w:after="0" w:line="1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879"/>
          </w:cols>
          <w:pgMar w:left="580" w:top="106"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Mink Brook Opportunity Fund LP</w:t>
      </w:r>
      <w:r>
        <w:rPr>
          <w:rFonts w:ascii="Times New Roman" w:cs="Times New Roman" w:eastAsia="Times New Roman" w:hAnsi="Times New Roman"/>
          <w:sz w:val="23"/>
          <w:szCs w:val="23"/>
          <w:color w:val="auto"/>
          <w:vertAlign w:val="superscript"/>
        </w:rPr>
        <w:t>(8)</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GROW Small Cap Equity Long Short LP</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WPS Direct Fund</w:t>
      </w:r>
      <w:r>
        <w:rPr>
          <w:rFonts w:ascii="Times New Roman" w:cs="Times New Roman" w:eastAsia="Times New Roman" w:hAnsi="Times New Roman"/>
          <w:sz w:val="23"/>
          <w:szCs w:val="23"/>
          <w:color w:val="auto"/>
          <w:vertAlign w:val="superscript"/>
        </w:rPr>
        <w:t>(10)</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WPS Capital Fund</w:t>
      </w:r>
      <w:r>
        <w:rPr>
          <w:rFonts w:ascii="Times New Roman" w:cs="Times New Roman" w:eastAsia="Times New Roman" w:hAnsi="Times New Roman"/>
          <w:sz w:val="23"/>
          <w:szCs w:val="23"/>
          <w:color w:val="auto"/>
          <w:vertAlign w:val="superscript"/>
        </w:rPr>
        <w:t>(10)</w:t>
      </w:r>
    </w:p>
    <w:p>
      <w:pPr>
        <w:spacing w:after="0" w:line="17" w:lineRule="exact"/>
        <w:rPr>
          <w:sz w:val="20"/>
          <w:szCs w:val="20"/>
          <w:color w:val="auto"/>
        </w:rPr>
      </w:pPr>
    </w:p>
    <w:p>
      <w:pPr>
        <w:ind w:left="1440" w:hanging="179"/>
        <w:spacing w:after="0" w:line="248" w:lineRule="auto"/>
        <w:rPr>
          <w:sz w:val="20"/>
          <w:szCs w:val="20"/>
          <w:color w:val="auto"/>
        </w:rPr>
      </w:pPr>
      <w:r>
        <w:rPr>
          <w:rFonts w:ascii="Times New Roman" w:cs="Times New Roman" w:eastAsia="Times New Roman" w:hAnsi="Times New Roman"/>
          <w:sz w:val="18"/>
          <w:szCs w:val="18"/>
          <w:color w:val="auto"/>
        </w:rPr>
        <w:t>TSW Small Cap Opportunities Fund, a series of TSW Fund Management Company LLC</w:t>
      </w:r>
      <w:r>
        <w:rPr>
          <w:rFonts w:ascii="Times New Roman" w:cs="Times New Roman" w:eastAsia="Times New Roman" w:hAnsi="Times New Roman"/>
          <w:sz w:val="23"/>
          <w:szCs w:val="23"/>
          <w:color w:val="auto"/>
          <w:vertAlign w:val="superscript"/>
        </w:rPr>
        <w:t>(11)</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Strategos Master Fund, L.P.</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Strategos Fund, L.P.</w:t>
      </w:r>
      <w:r>
        <w:rPr>
          <w:rFonts w:ascii="Times New Roman" w:cs="Times New Roman" w:eastAsia="Times New Roman" w:hAnsi="Times New Roman"/>
          <w:sz w:val="23"/>
          <w:szCs w:val="23"/>
          <w:color w:val="auto"/>
          <w:vertAlign w:val="superscript"/>
        </w:rPr>
        <w:t>(12)</w:t>
      </w:r>
    </w:p>
    <w:p>
      <w:pPr>
        <w:spacing w:after="0" w:line="348" w:lineRule="exact"/>
        <w:rPr>
          <w:sz w:val="20"/>
          <w:szCs w:val="20"/>
          <w:color w:val="auto"/>
        </w:rPr>
      </w:pPr>
    </w:p>
    <w:p>
      <w:pPr>
        <w:ind w:left="1620" w:hanging="36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Percentage of</w:t>
            </w: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Owned Before</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2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Owned After</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w:t>
            </w:r>
          </w:p>
        </w:tc>
        <w:tc>
          <w:tcPr>
            <w:tcW w:w="60" w:type="dxa"/>
            <w:vAlign w:val="bottom"/>
          </w:tcPr>
          <w:p>
            <w:pPr>
              <w:spacing w:after="0"/>
              <w:rPr>
                <w:sz w:val="14"/>
                <w:szCs w:val="14"/>
                <w:color w:val="auto"/>
              </w:rPr>
            </w:pPr>
          </w:p>
        </w:tc>
      </w:tr>
      <w:tr>
        <w:trPr>
          <w:trHeight w:val="214"/>
        </w:trPr>
        <w:tc>
          <w:tcPr>
            <w:tcW w:w="98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this Offering</w:t>
            </w:r>
          </w:p>
        </w:tc>
        <w:tc>
          <w:tcPr>
            <w:tcW w:w="8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Offered</w:t>
            </w:r>
          </w:p>
        </w:tc>
        <w:tc>
          <w:tcPr>
            <w:tcW w:w="196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this Offering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the Offering </w:t>
            </w:r>
            <w:r>
              <w:rPr>
                <w:rFonts w:ascii="Times New Roman" w:cs="Times New Roman" w:eastAsia="Times New Roman" w:hAnsi="Times New Roman"/>
                <w:sz w:val="24"/>
                <w:szCs w:val="24"/>
                <w:b w:val="1"/>
                <w:bCs w:val="1"/>
                <w:color w:val="auto"/>
                <w:vertAlign w:val="subscript"/>
              </w:rPr>
              <w:t>​</w:t>
            </w: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164,394</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164,394​​​</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454,545</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454,545​​​</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940,606</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800,606​​​</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140,000 ​​​</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160,000​​​</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140,000 ​​​</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782,484</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100,000​​​</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682,484 ​​​</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1"/>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938,721</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64,822​​​</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873,899 ​​​</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1,963,048</w:t>
            </w:r>
          </w:p>
        </w:tc>
        <w:tc>
          <w:tcPr>
            <w:tcW w:w="1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162,451​​​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1,800,597 ​​​</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616" w:lineRule="exact"/>
        <w:rPr>
          <w:sz w:val="20"/>
          <w:szCs w:val="20"/>
          <w:color w:val="auto"/>
        </w:rPr>
      </w:pPr>
    </w:p>
    <w:p>
      <w:pPr>
        <w:sectPr>
          <w:pgSz w:w="11900" w:h="16838" w:orient="portrait"/>
          <w:cols w:equalWidth="0" w:num="2">
            <w:col w:w="5300" w:space="440"/>
            <w:col w:w="4139"/>
          </w:cols>
          <w:pgMar w:left="580" w:top="106" w:right="1440" w:bottom="1440" w:gutter="0" w:footer="0" w:header="0"/>
        </w:sectPr>
      </w:pPr>
    </w:p>
    <w:p>
      <w:pPr>
        <w:ind w:left="1620" w:right="499" w:hanging="360"/>
        <w:spacing w:after="0" w:line="255"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6,647,441 shares of common stock and 2,400,000 pre-funded warrants, which exercise is limited such that holder’s beneficial ownership may not exceed 9.99%. Mr. Orin Hirschman is the managing member of AIGH Capital Management, LLC, a Maryland limited liability company (“AIGH CM”), which is an advisor with respect to securities held by AIGH Investment Partners, LP (“AIGH LP”). Mr. Hirschman has voting and investment control over the securities indirectly held by AIGH CM, directly held by AIGH LP and directly held by Mr. Hirschman and his family. The address for AIGH CM, AIGH LP and Mr. Hirschman is 6006 Berkeley Avenue, Baltimore, Maryland 21209.</w:t>
      </w:r>
    </w:p>
    <w:p>
      <w:pPr>
        <w:spacing w:after="0" w:line="40" w:lineRule="exact"/>
        <w:rPr>
          <w:rFonts w:ascii="Times New Roman" w:cs="Times New Roman" w:eastAsia="Times New Roman" w:hAnsi="Times New Roman"/>
          <w:sz w:val="18"/>
          <w:szCs w:val="18"/>
          <w:color w:val="auto"/>
        </w:rPr>
      </w:pPr>
    </w:p>
    <w:p>
      <w:pPr>
        <w:ind w:left="1620" w:right="419" w:hanging="360"/>
        <w:spacing w:after="0" w:line="25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2,279,546 shares of common stock and 750,000 pre-funded warrants, which exercise is limited such that holder’s beneficial ownership may not exceed 9.99%. Mr. Orin Hirschman is the managing member of AIGH CM, who is a sub-advisor with respect to securities held by WVP Emerging Manager Onshore Fund, LLC — AIGH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38" w:lineRule="exact"/>
        <w:rPr>
          <w:rFonts w:ascii="Times New Roman" w:cs="Times New Roman" w:eastAsia="Times New Roman" w:hAnsi="Times New Roman"/>
          <w:sz w:val="18"/>
          <w:szCs w:val="18"/>
          <w:color w:val="auto"/>
        </w:rPr>
      </w:pPr>
    </w:p>
    <w:p>
      <w:pPr>
        <w:ind w:left="1620" w:right="439" w:hanging="360"/>
        <w:spacing w:after="0" w:line="253"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4,524,637 shares of common stock and reflects 1,674,395 pre-funded warrants, which exercise is limited such that holder’s beneficial ownership may not exceed 4.99%.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other than to the extent of any pecuniary interest therein.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45" w:lineRule="exact"/>
        <w:rPr>
          <w:rFonts w:ascii="Times New Roman" w:cs="Times New Roman" w:eastAsia="Times New Roman" w:hAnsi="Times New Roman"/>
          <w:sz w:val="18"/>
          <w:szCs w:val="18"/>
          <w:color w:val="auto"/>
        </w:rPr>
      </w:pPr>
    </w:p>
    <w:p>
      <w:pPr>
        <w:ind w:left="1620" w:right="459" w:hanging="360"/>
        <w:spacing w:after="0" w:line="254"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 Long/Short Master Fund and Polar Multi-Strategy Master Fund (each referred to as “Polar”) are under management by Polar Asset Management Partners Inc. (“PAMPI”). PAMPI serves as investment advisor of Polar and has control and discretion over the shares held by Polar. As such, PAMPI may be deemed the beneficial owner of the shares held by Polar. PAMPI disclaims any beneficial ownership of the reported shares other than to the extent of any pecuniary interest therein. John Paul Sabourin, in his capacity as Chief Investment Officer of PAMPI, may also be deemed the beneficial owner of the shares held by Polar. Mr. Sabourin disclaims any beneficial ownership of the reported shares other than to the extent of any pecuniary interest therein. The principal business address of Polar is 94 Solaris Avenue, Camana Bay, PO Box 1348, Grand Cayman KY1-1108, Cayman Islands.</w:t>
      </w:r>
    </w:p>
    <w:p>
      <w:pPr>
        <w:spacing w:after="0" w:line="39" w:lineRule="exact"/>
        <w:rPr>
          <w:rFonts w:ascii="Times New Roman" w:cs="Times New Roman" w:eastAsia="Times New Roman" w:hAnsi="Times New Roman"/>
          <w:sz w:val="18"/>
          <w:szCs w:val="18"/>
          <w:color w:val="auto"/>
        </w:rPr>
      </w:pPr>
    </w:p>
    <w:p>
      <w:pPr>
        <w:ind w:left="1620" w:right="679" w:hanging="360"/>
        <w:spacing w:after="0" w:line="261"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Laurence Lytton may be deemed to have voting and dispositive power with respect to the common shares beneficially owned by the Lytton-Kambara Foundation. The address of Lytton-Kambara Foundation is 467 Central Park West 17-A, New York, NY 10025, Attn: Laurence Lytton, Managing Partner.</w:t>
      </w:r>
    </w:p>
    <w:p>
      <w:pPr>
        <w:spacing w:after="0" w:line="31" w:lineRule="exact"/>
        <w:rPr>
          <w:rFonts w:ascii="Times New Roman" w:cs="Times New Roman" w:eastAsia="Times New Roman" w:hAnsi="Times New Roman"/>
          <w:sz w:val="18"/>
          <w:szCs w:val="18"/>
          <w:color w:val="auto"/>
        </w:rPr>
      </w:pPr>
    </w:p>
    <w:p>
      <w:pPr>
        <w:jc w:val="both"/>
        <w:ind w:left="1620" w:right="53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AWM Investment Company, Inc. (“AWM”) is the investment adviser to each of the Special Situations Funds. David Greenhouse and Adam Stettner are the principal owners of AWM. Through their control</w:t>
      </w:r>
    </w:p>
    <w:p>
      <w:pPr>
        <w:sectPr>
          <w:pgSz w:w="11900" w:h="16838" w:orient="portrait"/>
          <w:cols w:equalWidth="0" w:num="1">
            <w:col w:w="9879"/>
          </w:cols>
          <w:pgMar w:left="580" w:top="106"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879"/>
          </w:cols>
          <w:pgMar w:left="580" w:top="106"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right="559"/>
        <w:spacing w:after="0" w:line="258" w:lineRule="auto"/>
        <w:rPr>
          <w:sz w:val="20"/>
          <w:szCs w:val="20"/>
          <w:color w:val="auto"/>
        </w:rPr>
      </w:pPr>
      <w:r>
        <w:rPr>
          <w:rFonts w:ascii="Times New Roman" w:cs="Times New Roman" w:eastAsia="Times New Roman" w:hAnsi="Times New Roman"/>
          <w:sz w:val="18"/>
          <w:szCs w:val="18"/>
          <w:color w:val="auto"/>
        </w:rPr>
        <w:t>of AWM,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Funds and Messrs. Greenhouse and Stettner is 527 Madison Avenue, Suite 2600, New York, NY 10022.</w:t>
      </w:r>
    </w:p>
    <w:p>
      <w:pPr>
        <w:spacing w:after="0" w:line="48" w:lineRule="exact"/>
        <w:rPr>
          <w:sz w:val="20"/>
          <w:szCs w:val="20"/>
          <w:color w:val="auto"/>
        </w:rPr>
      </w:pPr>
    </w:p>
    <w:p>
      <w:pPr>
        <w:ind w:left="1620" w:right="439" w:hanging="360"/>
        <w:spacing w:after="0" w:line="253"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256,515 shares of common stock held by Empery Asset Master Ltd (“EAM”), 120,499 shares of common stock held by Empery Tax Efficient, LP (“ETE”) and 192,683 shares of common stock held by Empery Tax Efficient III, LP (“ETE III” and collectively with EAM and ETE, the “Empery Funds”). Empery Asset Management LP, the authorized agent of each of the Empery Funds, has discretionary authority to vote and dispose of the shares held by the Empery Funds and may be deemed to be the beneficial owner of these shares. Ryan Lane, in his capacity as the chief investment officer of Empery Asset Management LP, may also be deemed to have investment discretion and voting power over the shares held by the Empery Funds. Each of the Empery Funds and Mr. Lane each disclaim any beneficial ownership of these shares. The address of each of the Empery Funds is c/o Empery Asset Management, LP, One Rockefeller Plaza, Suite 1205, New York, NY 10020.</w:t>
      </w:r>
    </w:p>
    <w:p>
      <w:pPr>
        <w:spacing w:after="0" w:line="45" w:lineRule="exact"/>
        <w:rPr>
          <w:rFonts w:ascii="Times New Roman" w:cs="Times New Roman" w:eastAsia="Times New Roman" w:hAnsi="Times New Roman"/>
          <w:sz w:val="18"/>
          <w:szCs w:val="18"/>
          <w:color w:val="auto"/>
        </w:rPr>
      </w:pPr>
    </w:p>
    <w:p>
      <w:pPr>
        <w:ind w:left="1620" w:right="559" w:hanging="360"/>
        <w:spacing w:after="0" w:line="261"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Mueller may be deemed to have voting and dispositive power with respect to the common shares beneficially owned by Mink Brook Partners LP and Mink Brook Opportunity Fund LP. The address of Mink Brook Partners LP and Mink Brook Opportunity Fund LP is 201 Summa Street, West Palm Beach, FL 33405, Attn: William Mueller.</w:t>
      </w:r>
    </w:p>
    <w:p>
      <w:pPr>
        <w:spacing w:after="0" w:line="31" w:lineRule="exact"/>
        <w:rPr>
          <w:rFonts w:ascii="Times New Roman" w:cs="Times New Roman" w:eastAsia="Times New Roman" w:hAnsi="Times New Roman"/>
          <w:sz w:val="18"/>
          <w:szCs w:val="18"/>
          <w:color w:val="auto"/>
        </w:rPr>
      </w:pPr>
    </w:p>
    <w:p>
      <w:pPr>
        <w:ind w:left="1620" w:right="71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Wiese may be deemed to have voting and dispositive power with respect to the common shares beneficially owned by GROW Small Cap Equity Long Short LP. The address of GROW Small Cap Equity Long Short LP is 4275 Executive Square, Suite 335, La Jolla, CA 92037.</w:t>
      </w:r>
    </w:p>
    <w:p>
      <w:pPr>
        <w:spacing w:after="0" w:line="40"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Patrick Schubmehl may be deemed to have voting and investment control over the portfolio securities held by WPS Direct Fund and WPS Capital Fund. Mr. Schubmehl disclaims any beneficial ownership of the reported shares other than to the extent of any pecuniary interest he may have therein. The address of each of WPS Direct Fund and WPS Capital Fund is 6641 West Broad Street, Suite 600, Richmond, VA 23230.</w:t>
      </w:r>
    </w:p>
    <w:p>
      <w:pPr>
        <w:spacing w:after="0" w:line="34"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Roger Porter may be deemed to have voting and investment control over the portfolio securities held by TSW Small Cap Opportunities Fund, a series of TSW Fund Management Company LLC. Mr. Porter disclaims any beneficial ownership of the reported shares other than to the extent of any pecuniary interest he may have therein. The address of TSW Small Cap Opportunities Fund, a series of TSW Fund Management Company LLC is 6641 West Broad Street, Suite 600, Richmond, VA 23230.</w:t>
      </w:r>
    </w:p>
    <w:p>
      <w:pPr>
        <w:spacing w:after="0" w:line="34"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Strategos Master Fund, L.P. and Strategos Fund, L.P. are managed by Archon Capital Management LLC, and may be deemed to have discretionary authority to vote and dispose of the shares held by such funds. Constantinos Christofilis in his capacity as Managing Member of Archon Capital Management LLC, may also be deemed to have investment discretion and voting power over the shares held by Strategos Master Fund, L.P. and Strategos Fund, L.P.. Each of the Archon Capital Management LLC and Mr. Christofilis each disclaim any beneficial ownership of such shares. The address of each fund is 1100 19th Avenue East, Seattle WA 98112.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79"/>
          </w:cols>
          <w:pgMar w:left="580" w:top="106"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any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3"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4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9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 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1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agreed to keep the registration statement of which this prospectus is a part effective until the earlier of (i) the date on which the securities may be resold by the Selling Stockholders without registration and</w:t>
      </w:r>
    </w:p>
    <w:p>
      <w:pPr>
        <w:sectPr>
          <w:pgSz w:w="11900" w:h="16838" w:orient="portrait"/>
          <w:cols w:equalWidth="0" w:num="1">
            <w:col w:w="9879"/>
          </w:cols>
          <w:pgMar w:left="580" w:top="106"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879"/>
          </w:cols>
          <w:pgMar w:left="580" w:top="106"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Dentons US LLP New York, New York, will pass upon the validity of the shares of common stock offered hereby.</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2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that contains reports, proxy and information statements, and other information regarding issuers, such as us, that file electronically with the SEC.</w:t>
      </w:r>
    </w:p>
    <w:p>
      <w:pPr>
        <w:spacing w:after="0" w:line="95"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www.nninc.com. Information contained in or accessible through our website does not 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879"/>
          </w:cols>
          <w:pgMar w:left="580" w:top="106"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8641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64400" cy="864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following documents are incorporated by reference into this document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w:t>
      </w:r>
    </w:p>
    <w:p>
      <w:pPr>
        <w:spacing w:after="0" w:line="72" w:lineRule="exact"/>
        <w:rPr>
          <w:sz w:val="20"/>
          <w:szCs w:val="20"/>
          <w:color w:val="auto"/>
        </w:rPr>
      </w:pPr>
    </w:p>
    <w:p>
      <w:pPr>
        <w:ind w:left="1800" w:right="419" w:hanging="180"/>
        <w:spacing w:after="0" w:line="282" w:lineRule="auto"/>
        <w:tabs>
          <w:tab w:leader="none" w:pos="1800" w:val="left"/>
        </w:tabs>
        <w:numPr>
          <w:ilvl w:val="0"/>
          <w:numId w:val="10"/>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our Annual Report on Form 10-K for the fiscal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March 4, 2026;</w:t>
        </w:r>
      </w:hyperlink>
    </w:p>
    <w:p>
      <w:pPr>
        <w:spacing w:after="0" w:line="53" w:lineRule="exact"/>
        <w:rPr>
          <w:rFonts w:ascii="Times New Roman" w:cs="Times New Roman" w:eastAsia="Times New Roman" w:hAnsi="Times New Roman"/>
          <w:sz w:val="18"/>
          <w:szCs w:val="18"/>
          <w:u w:val="single" w:color="auto"/>
          <w:color w:val="0000EE"/>
        </w:rPr>
      </w:pPr>
    </w:p>
    <w:p>
      <w:pPr>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w:t>
      </w:r>
      <w:hyperlink r:id="rId29">
        <w:r>
          <w:rPr>
            <w:rFonts w:ascii="Times New Roman" w:cs="Times New Roman" w:eastAsia="Times New Roman" w:hAnsi="Times New Roman"/>
            <w:sz w:val="18"/>
            <w:szCs w:val="18"/>
            <w:color w:val="auto"/>
          </w:rPr>
          <w:t xml:space="preserve">fiscal year ended December 31, 2025 from our </w:t>
        </w:r>
        <w:r>
          <w:rPr>
            <w:rFonts w:ascii="Times New Roman" w:cs="Times New Roman" w:eastAsia="Times New Roman" w:hAnsi="Times New Roman"/>
            <w:sz w:val="18"/>
            <w:szCs w:val="18"/>
            <w:u w:val="single" w:color="auto"/>
            <w:color w:val="0000EE"/>
          </w:rPr>
          <w:t>definitive proxy statement on Schedule 14A, filed</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with the SEC on April 6, 2026;</w:t>
        </w:r>
      </w:hyperlink>
    </w:p>
    <w:p>
      <w:pPr>
        <w:spacing w:after="0" w:line="67" w:lineRule="exact"/>
        <w:rPr>
          <w:rFonts w:ascii="Times New Roman" w:cs="Times New Roman" w:eastAsia="Times New Roman" w:hAnsi="Times New Roman"/>
          <w:sz w:val="18"/>
          <w:szCs w:val="18"/>
          <w:u w:val="single" w:color="auto"/>
          <w:color w:val="0000EE"/>
        </w:rPr>
      </w:pPr>
    </w:p>
    <w:p>
      <w:pPr>
        <w:ind w:left="1800" w:right="719" w:hanging="180"/>
        <w:spacing w:after="0" w:line="282" w:lineRule="auto"/>
        <w:tabs>
          <w:tab w:leader="none" w:pos="1800" w:val="left"/>
        </w:tabs>
        <w:numPr>
          <w:ilvl w:val="0"/>
          <w:numId w:val="10"/>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our Quarterly Report on Form 10-Q for the quarterly period ended March 31, 2026, filed with the</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SEC on May 6, 2026;</w:t>
        </w:r>
      </w:hyperlink>
    </w:p>
    <w:p>
      <w:pPr>
        <w:spacing w:after="0" w:line="53" w:lineRule="exact"/>
        <w:rPr>
          <w:rFonts w:ascii="Times New Roman" w:cs="Times New Roman" w:eastAsia="Times New Roman" w:hAnsi="Times New Roman"/>
          <w:sz w:val="18"/>
          <w:szCs w:val="18"/>
          <w:u w:val="single" w:color="auto"/>
          <w:color w:val="0000EE"/>
        </w:rPr>
      </w:pPr>
    </w:p>
    <w:p>
      <w:pPr>
        <w:ind w:left="1800" w:right="479" w:hanging="180"/>
        <w:spacing w:after="0" w:line="282" w:lineRule="auto"/>
        <w:tabs>
          <w:tab w:leader="none" w:pos="1800" w:val="left"/>
        </w:tabs>
        <w:numPr>
          <w:ilvl w:val="0"/>
          <w:numId w:val="10"/>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our Quarterly Report on Form 10-Q for the quarterly period ended June 30, 2026, filed with the SEC</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on August 5, 2026;</w:t>
        </w:r>
      </w:hyperlink>
    </w:p>
    <w:p>
      <w:pPr>
        <w:spacing w:after="0" w:line="53" w:lineRule="exact"/>
        <w:rPr>
          <w:rFonts w:ascii="Times New Roman" w:cs="Times New Roman" w:eastAsia="Times New Roman" w:hAnsi="Times New Roman"/>
          <w:sz w:val="18"/>
          <w:szCs w:val="18"/>
          <w:u w:val="single" w:color="auto"/>
          <w:color w:val="0000EE"/>
        </w:rPr>
      </w:pPr>
    </w:p>
    <w:p>
      <w:pPr>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(other than information furnished rather than filed), filed with the </w:t>
      </w:r>
      <w:hyperlink r:id="rId32">
        <w:r>
          <w:rPr>
            <w:rFonts w:ascii="Times New Roman" w:cs="Times New Roman" w:eastAsia="Times New Roman" w:hAnsi="Times New Roman"/>
            <w:sz w:val="18"/>
            <w:szCs w:val="18"/>
            <w:color w:val="auto"/>
          </w:rPr>
          <w:t xml:space="preserve">SEC on </w:t>
        </w:r>
        <w:r>
          <w:rPr>
            <w:rFonts w:ascii="Times New Roman" w:cs="Times New Roman" w:eastAsia="Times New Roman" w:hAnsi="Times New Roman"/>
            <w:sz w:val="18"/>
            <w:szCs w:val="18"/>
            <w:u w:val="single" w:color="auto"/>
            <w:color w:val="0000EE"/>
          </w:rPr>
          <w:t>January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30,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23,</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July 24, 2026</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July 31, 2026</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September 30, 2026</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2">
        <w:r>
          <w:rPr>
            <w:rFonts w:ascii="Times New Roman" w:cs="Times New Roman" w:eastAsia="Times New Roman" w:hAnsi="Times New Roman"/>
            <w:sz w:val="18"/>
            <w:szCs w:val="18"/>
            <w:u w:val="single" w:color="auto"/>
            <w:color w:val="0000EE"/>
          </w:rPr>
          <w:t xml:space="preserve">October 5, 2026 </w:t>
        </w:r>
      </w:hyperlink>
      <w:hyperlink r:id="rId3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October 8, 2026</w:t>
        </w:r>
      </w:hyperlink>
      <w:hyperlink r:id="rId32">
        <w:r>
          <w:rPr>
            <w:rFonts w:ascii="Times New Roman" w:cs="Times New Roman" w:eastAsia="Times New Roman" w:hAnsi="Times New Roman"/>
            <w:sz w:val="18"/>
            <w:szCs w:val="18"/>
            <w:color w:val="000000"/>
          </w:rPr>
          <w:t xml:space="preserve">; </w:t>
        </w:r>
      </w:hyperlink>
      <w:r>
        <w:rPr>
          <w:rFonts w:ascii="Times New Roman" w:cs="Times New Roman" w:eastAsia="Times New Roman" w:hAnsi="Times New Roman"/>
          <w:sz w:val="18"/>
          <w:szCs w:val="18"/>
          <w:color w:val="0000EE"/>
        </w:rPr>
        <w:t>and</w:t>
      </w:r>
    </w:p>
    <w:p>
      <w:pPr>
        <w:spacing w:after="0" w:line="67" w:lineRule="exact"/>
        <w:rPr>
          <w:rFonts w:ascii="Times New Roman" w:cs="Times New Roman" w:eastAsia="Times New Roman" w:hAnsi="Times New Roman"/>
          <w:sz w:val="18"/>
          <w:szCs w:val="18"/>
          <w:color w:val="0000EE"/>
        </w:rPr>
      </w:pPr>
    </w:p>
    <w:p>
      <w:pPr>
        <w:ind w:left="1800" w:right="43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registered under Section 12 of the Exchange Act, described in </w:t>
      </w:r>
      <w:hyperlink r:id="rId37">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2020, filed with the SEC on </w:t>
      </w:r>
      <w:hyperlink r:id="rId38">
        <w:r>
          <w:rPr>
            <w:rFonts w:ascii="Times New Roman" w:cs="Times New Roman" w:eastAsia="Times New Roman" w:hAnsi="Times New Roman"/>
            <w:sz w:val="18"/>
            <w:szCs w:val="18"/>
            <w:u w:val="single" w:color="auto"/>
            <w:color w:val="0000EE"/>
          </w:rPr>
          <w:t>March 15, 2021</w:t>
        </w:r>
      </w:hyperlink>
      <w:r>
        <w:rPr>
          <w:rFonts w:ascii="Times New Roman" w:cs="Times New Roman" w:eastAsia="Times New Roman" w:hAnsi="Times New Roman"/>
          <w:sz w:val="18"/>
          <w:szCs w:val="18"/>
          <w:color w:val="auto"/>
        </w:rPr>
        <w:t>, including any amendments or reports filed for the purposes of updating such description.</w:t>
      </w:r>
    </w:p>
    <w:p>
      <w:pPr>
        <w:spacing w:after="0" w:line="99" w:lineRule="exact"/>
        <w:rPr>
          <w:rFonts w:ascii="Times New Roman" w:cs="Times New Roman" w:eastAsia="Times New Roman" w:hAnsi="Times New Roman"/>
          <w:sz w:val="18"/>
          <w:szCs w:val="18"/>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337" w:lineRule="exact"/>
        <w:rPr>
          <w:rFonts w:ascii="Times New Roman" w:cs="Times New Roman" w:eastAsia="Times New Roman" w:hAnsi="Times New Roman"/>
          <w:sz w:val="18"/>
          <w:szCs w:val="18"/>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by writing us at NN, Inc., 6210 Ardrey Kell Road, Suite 120, Charlotte, North Carolina 28277 Attention: Secretary or telephoning us at (980) 264-4300.</w:t>
      </w:r>
    </w:p>
    <w:p>
      <w:pPr>
        <w:spacing w:after="0" w:line="120" w:lineRule="exact"/>
        <w:rPr>
          <w:rFonts w:ascii="Times New Roman" w:cs="Times New Roman" w:eastAsia="Times New Roman" w:hAnsi="Times New Roman"/>
          <w:sz w:val="18"/>
          <w:szCs w:val="18"/>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3"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9879"/>
      </w:cols>
      <w:pgMar w:left="5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2"/>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s://www.sec.gov/ix?doc=/Archives/edgar/data/0000918541/000091854126000105/nnbr-20261001.htm" TargetMode="External"/><Relationship Id="rId28" Type="http://schemas.openxmlformats.org/officeDocument/2006/relationships/hyperlink" Target="https://www.sec.gov/ix?doc=/Archives/edgar/data/918541/000091854126000006/nnbr-20251231.htm" TargetMode="External"/><Relationship Id="rId29" Type="http://schemas.openxmlformats.org/officeDocument/2006/relationships/hyperlink" Target="https://www.sec.gov/ix?doc=/Archives/edgar/data/918541/000091854126000026/nnbr-20260406.htm" TargetMode="External"/><Relationship Id="rId30" Type="http://schemas.openxmlformats.org/officeDocument/2006/relationships/hyperlink" Target="https://www.sec.gov/ix?doc=/Archives/edgar/data/918541/000091854126000033/nnbr-20260331.htm" TargetMode="External"/><Relationship Id="rId31" Type="http://schemas.openxmlformats.org/officeDocument/2006/relationships/hyperlink" Target="https://www.sec.gov/ix?doc=/Archives/edgar/data/0000918541/000091854126000064/nnbr-20260630.htm" TargetMode="External"/><Relationship Id="rId32" Type="http://schemas.openxmlformats.org/officeDocument/2006/relationships/hyperlink" Target="https://www.sec.gov/ix?doc=/Archives/edgar/data/0000918541/000110465926086257/tm2621157d1_8k.htm" TargetMode="External"/><Relationship Id="rId33" Type="http://schemas.openxmlformats.org/officeDocument/2006/relationships/hyperlink" Target="https://www.sec.gov/ix?doc=/Archives/edgar/data/0000918541/000091854126000054/nnbr-20260723.htm" TargetMode="External"/><Relationship Id="rId34" Type="http://schemas.openxmlformats.org/officeDocument/2006/relationships/hyperlink" Target="https://www.sec.gov/ix?doc=/Archives/edgar/data/0000918541/000091854126000057/nnbr-20260729.htm" TargetMode="External"/><Relationship Id="rId35" Type="http://schemas.openxmlformats.org/officeDocument/2006/relationships/hyperlink" Target="https://www.sec.gov/ix?doc=/Archives/edgar/data/918541/000091854126000100/nnbr-20260930.htm" TargetMode="External"/><Relationship Id="rId36" Type="http://schemas.openxmlformats.org/officeDocument/2006/relationships/hyperlink" Target="https://www.sec.gov/ix?doc=/Archives/edgar/data/0000918541/000091854126000107/nnbr-20261007.htm" TargetMode="External"/><Relationship Id="rId37" Type="http://schemas.openxmlformats.org/officeDocument/2006/relationships/hyperlink" Target="https://www.sec.gov/Archives/edgar/data/918541/000091854121000003/q42020ex45.htm" TargetMode="External"/><Relationship Id="rId38" Type="http://schemas.openxmlformats.org/officeDocument/2006/relationships/hyperlink" Target="https://www.sec.gov/ix?doc=/Archives/edgar/data/918541/000091854121000003/nnbr-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2026-10-26T06:58:04Z</dcterms:created>
  <dcterms:modified xsi:type="dcterms:W3CDTF">2026-10-26T06:58:04Z</dcterms:modified>
</cp:coreProperties>
</file>