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header3.xml" ContentType="application/vnd.openxmlformats-officedocument.wordprocessingml.head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6.4.0 -->
  <w:body>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Layout w:type="fixed"/>
        </w:tblPrEx>
        <w:trPr>
          <w:cantSplit/>
          <w:trHeight w:hRule="exact" w:val="60"/>
        </w:trPr>
        <w:tc>
          <w:tcPr>
            <w:tcW w:w="9360" w:type="dxa"/>
            <w:tcBorders>
              <w:top w:val="nil"/>
              <w:left w:val="nil"/>
              <w:bottom w:val="double" w:sz="8" w:space="0" w:color="000000"/>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4"/>
              </w:rPr>
            </w:pPr>
          </w:p>
        </w:tc>
      </w:tr>
    </w:tbl>
    <w:p>
      <w:pPr>
        <w:keepNext w:val="0"/>
        <w:keepLines w:val="0"/>
        <w:pageBreakBefore w:val="0"/>
        <w:widowControl/>
        <w:numPr>
          <w:ilvl w:val="0"/>
          <w:numId w:val="0"/>
        </w:numPr>
        <w:spacing w:before="120" w:after="0" w:line="288" w:lineRule="auto"/>
        <w:ind w:left="0" w:right="0" w:firstLine="0"/>
        <w:jc w:val="center"/>
        <w:outlineLvl w:val="0"/>
        <w:rPr>
          <w:rFonts w:ascii="Times New Roman" w:eastAsia="Times New Roman" w:hAnsi="Times New Roman" w:cs="Times New Roman"/>
          <w:b/>
          <w:i w:val="0"/>
          <w:sz w:val="32"/>
        </w:rPr>
      </w:pPr>
      <w:r>
        <w:rPr>
          <w:rFonts w:ascii="Times New Roman" w:eastAsia="Times New Roman" w:hAnsi="Times New Roman" w:cs="Times New Roman"/>
          <w:b/>
          <w:i w:val="0"/>
          <w:sz w:val="32"/>
        </w:rPr>
        <w:t>UNITED STATES</w: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32"/>
        </w:rPr>
      </w:pPr>
      <w:r>
        <w:rPr>
          <w:rFonts w:ascii="Times New Roman" w:eastAsia="Times New Roman" w:hAnsi="Times New Roman" w:cs="Times New Roman"/>
          <w:b/>
          <w:i w:val="0"/>
          <w:sz w:val="32"/>
        </w:rPr>
        <w:t>SECURITIES AND EXCHANGE COMMISSION</w:t>
      </w:r>
    </w:p>
    <w:p>
      <w:pPr>
        <w:keepNext w:val="0"/>
        <w:keepLines w:val="0"/>
        <w:pageBreakBefore w:val="0"/>
        <w:widowControl/>
        <w:numPr>
          <w:ilvl w:val="0"/>
          <w:numId w:val="0"/>
        </w:numPr>
        <w:spacing w:before="0" w:after="100" w:line="240" w:lineRule="auto"/>
        <w:ind w:left="0" w:right="0" w:firstLine="0"/>
        <w:jc w:val="center"/>
        <w:outlineLvl w:val="9"/>
        <w:rPr>
          <w:rFonts w:ascii="Times New Roman" w:eastAsia="Times New Roman" w:hAnsi="Times New Roman" w:cs="Times New Roman"/>
          <w:b/>
          <w:i w:val="0"/>
          <w:sz w:val="22"/>
        </w:rPr>
      </w:pPr>
      <w:r>
        <w:rPr>
          <w:rFonts w:ascii="Times New Roman" w:eastAsia="Times New Roman" w:hAnsi="Times New Roman" w:cs="Times New Roman"/>
          <w:b/>
          <w:i w:val="0"/>
          <w:sz w:val="22"/>
        </w:rPr>
        <w:t>Washington, D.C. 20549</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4"/>
        </w:rPr>
      </w:pPr>
      <w:r>
        <w:rPr>
          <w:rFonts w:ascii="Times New Roman" w:eastAsia="Times New Roman" w:hAnsi="Times New Roman" w:cs="Times New Roman"/>
          <w:b/>
          <w:i w:val="0"/>
          <w:sz w:val="32"/>
        </w:rPr>
        <w:t xml:space="preserve">FORM </w:t>
      </w:r>
      <w:r>
        <w:rPr>
          <w:rFonts w:ascii="Times New Roman" w:eastAsia="Times New Roman" w:hAnsi="Times New Roman" w:cs="Times New Roman"/>
          <w:b/>
          <w:i w:val="0"/>
          <w:color w:val="000000"/>
          <w:sz w:val="32"/>
          <w:u w:val="none"/>
        </w:rPr>
        <w:t>8-K</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32"/>
        </w:rPr>
      </w:pPr>
      <w:r>
        <w:rPr>
          <w:rFonts w:ascii="Times New Roman" w:eastAsia="Times New Roman" w:hAnsi="Times New Roman" w:cs="Times New Roman"/>
          <w:b/>
          <w:i w:val="0"/>
          <w:sz w:val="32"/>
        </w:rPr>
        <w:t>CURRENT REPORT</w: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22"/>
        </w:rPr>
      </w:pPr>
      <w:r>
        <w:rPr>
          <w:rFonts w:ascii="Times New Roman" w:eastAsia="Times New Roman" w:hAnsi="Times New Roman" w:cs="Times New Roman"/>
          <w:b/>
          <w:i w:val="0"/>
          <w:sz w:val="22"/>
        </w:rPr>
        <w:t xml:space="preserve">Pursuant to Section 13 OR 15(d) of The Securities Exchange Act of 1934 </w:t>
      </w:r>
    </w:p>
    <w:p>
      <w:pPr>
        <w:keepNext w:val="0"/>
        <w:keepLines w:val="0"/>
        <w:pageBreakBefore w:val="0"/>
        <w:widowControl/>
        <w:numPr>
          <w:ilvl w:val="0"/>
          <w:numId w:val="0"/>
        </w:numPr>
        <w:tabs>
          <w:tab w:val="left" w:pos="9980"/>
          <w:tab w:val="left" w:pos="10080"/>
          <w:tab w:val="left" w:pos="10800"/>
          <w:tab w:val="left" w:pos="11520"/>
        </w:tabs>
        <w:spacing w:before="120" w:after="60" w:line="240" w:lineRule="auto"/>
        <w:ind w:left="0" w:right="0" w:firstLine="0"/>
        <w:jc w:val="center"/>
        <w:outlineLvl w:val="9"/>
        <w:rPr>
          <w:rFonts w:ascii="Times New Roman" w:eastAsia="Times New Roman" w:hAnsi="Times New Roman" w:cs="Times New Roman"/>
          <w:b/>
          <w:i w:val="0"/>
          <w:sz w:val="22"/>
        </w:rPr>
      </w:pPr>
      <w:r>
        <w:rPr>
          <w:rFonts w:ascii="Times New Roman" w:eastAsia="Times New Roman" w:hAnsi="Times New Roman" w:cs="Times New Roman"/>
          <w:b/>
          <w:i w:val="0"/>
          <w:sz w:val="22"/>
        </w:rPr>
        <w:t xml:space="preserve">Date of Report (Date of earliest event reported):  </w:t>
      </w:r>
      <w:r>
        <w:rPr>
          <w:rFonts w:ascii="Times New Roman" w:eastAsia="Times New Roman" w:hAnsi="Times New Roman" w:cs="Times New Roman"/>
          <w:b/>
          <w:i w:val="0"/>
          <w:color w:val="000000"/>
          <w:sz w:val="22"/>
          <w:u w:val="none"/>
        </w:rPr>
        <w:t>October 7, 2026</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pt;height:48.5pt">
            <v:imagedata r:id="rId4" o:title=""/>
            <o:lock v:ext="edit" aspectratio="t"/>
          </v:shape>
        </w:pic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36"/>
        </w:rPr>
      </w:pPr>
      <w:r>
        <w:rPr>
          <w:rFonts w:ascii="Times New Roman" w:eastAsia="Times New Roman" w:hAnsi="Times New Roman" w:cs="Times New Roman"/>
          <w:b/>
          <w:i w:val="0"/>
          <w:color w:val="000000"/>
          <w:sz w:val="36"/>
          <w:u w:val="none"/>
        </w:rPr>
        <w:t>NN, Inc.</w: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sz w:val="18"/>
        </w:rPr>
        <w:t>(Exact name of registrant as specified in its charter)</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000"/>
        <w:gridCol w:w="3000"/>
        <w:gridCol w:w="3000"/>
      </w:tblGrid>
      <w:tr>
        <w:tblPrEx>
          <w:tblW w:w="9000" w:type="dxa"/>
          <w:tblLayout w:type="fixed"/>
        </w:tblPrEx>
        <w:trPr>
          <w:cantSplit/>
          <w:trHeight w:hRule="exact" w:val="285"/>
        </w:trPr>
        <w:tc>
          <w:tcPr>
            <w:tcW w:w="300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Delaware</w:t>
            </w:r>
          </w:p>
        </w:tc>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001-39268</w:t>
            </w:r>
          </w:p>
        </w:tc>
        <w:tc>
          <w:tcPr>
            <w:tcW w:w="300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62-1096725</w:t>
            </w:r>
          </w:p>
        </w:tc>
      </w:tr>
      <w:tr>
        <w:tblPrEx>
          <w:tblW w:w="9000" w:type="dxa"/>
          <w:tblLayout w:type="fixed"/>
        </w:tblPrEx>
        <w:trPr>
          <w:cantSplit/>
          <w:trHeight w:hRule="exact" w:val="465"/>
        </w:trPr>
        <w:tc>
          <w:tcPr>
            <w:tcW w:w="3000" w:type="dxa"/>
            <w:tcBorders>
              <w:top w:val="nil"/>
              <w:left w:val="nil"/>
              <w:bottom w:val="nil"/>
              <w:right w:val="nil"/>
            </w:tcBorders>
            <w:tcMar>
              <w:top w:w="0" w:type="dxa"/>
              <w:left w:w="53" w:type="dxa"/>
              <w:bottom w:w="0" w:type="dxa"/>
              <w:right w:w="53" w:type="dxa"/>
            </w:tcMar>
            <w:vAlign w:val="top"/>
          </w:tcPr>
          <w:p>
            <w:pPr>
              <w:pageBreakBefore w:val="0"/>
              <w:spacing w:before="53" w:line="240" w:lineRule="auto"/>
              <w:jc w:val="center"/>
            </w:pPr>
            <w:r>
              <w:rPr>
                <w:rFonts w:ascii="Times New Roman" w:eastAsia="Times New Roman" w:hAnsi="Times New Roman" w:cs="Times New Roman"/>
                <w:b w:val="0"/>
                <w:i/>
                <w:color w:val="000000"/>
                <w:sz w:val="18"/>
                <w:u w:val="none"/>
              </w:rPr>
              <w:t>(State or other jurisdiction of</w:t>
            </w:r>
          </w:p>
          <w:p>
            <w:pPr>
              <w:spacing w:after="30" w:line="240" w:lineRule="auto"/>
              <w:jc w:val="center"/>
            </w:pPr>
            <w:r>
              <w:rPr>
                <w:rFonts w:ascii="Times New Roman" w:eastAsia="Times New Roman" w:hAnsi="Times New Roman" w:cs="Times New Roman"/>
                <w:b w:val="0"/>
                <w:i/>
                <w:color w:val="000000"/>
                <w:sz w:val="18"/>
                <w:u w:val="none"/>
              </w:rPr>
              <w:t>incorporation)</w:t>
            </w:r>
          </w:p>
        </w:tc>
        <w:tc>
          <w:tcPr>
            <w:tcW w:w="300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Times New Roman" w:eastAsia="Times New Roman" w:hAnsi="Times New Roman" w:cs="Times New Roman"/>
                <w:b w:val="0"/>
                <w:i/>
                <w:color w:val="000000"/>
                <w:sz w:val="18"/>
                <w:u w:val="none"/>
              </w:rPr>
              <w:t>(Commission File Number)</w:t>
            </w:r>
          </w:p>
        </w:tc>
        <w:tc>
          <w:tcPr>
            <w:tcW w:w="3000" w:type="dxa"/>
            <w:tcBorders>
              <w:top w:val="nil"/>
              <w:left w:val="nil"/>
              <w:bottom w:val="nil"/>
              <w:right w:val="nil"/>
            </w:tcBorders>
            <w:tcMar>
              <w:top w:w="0" w:type="dxa"/>
              <w:left w:w="53" w:type="dxa"/>
              <w:bottom w:w="0" w:type="dxa"/>
              <w:right w:w="53" w:type="dxa"/>
            </w:tcMar>
            <w:vAlign w:val="top"/>
          </w:tcPr>
          <w:p>
            <w:pPr>
              <w:pageBreakBefore w:val="0"/>
              <w:spacing w:before="53" w:line="240" w:lineRule="auto"/>
              <w:jc w:val="center"/>
            </w:pPr>
            <w:r>
              <w:rPr>
                <w:rFonts w:ascii="Times New Roman" w:eastAsia="Times New Roman" w:hAnsi="Times New Roman" w:cs="Times New Roman"/>
                <w:b w:val="0"/>
                <w:i/>
                <w:color w:val="000000"/>
                <w:sz w:val="18"/>
                <w:u w:val="none"/>
              </w:rPr>
              <w:t>(I.R.S. Employer</w:t>
            </w:r>
          </w:p>
          <w:p>
            <w:pPr>
              <w:spacing w:after="30" w:line="240" w:lineRule="auto"/>
              <w:jc w:val="center"/>
            </w:pPr>
            <w:r>
              <w:rPr>
                <w:rFonts w:ascii="Times New Roman" w:eastAsia="Times New Roman" w:hAnsi="Times New Roman" w:cs="Times New Roman"/>
                <w:b w:val="0"/>
                <w:i/>
                <w:color w:val="000000"/>
                <w:sz w:val="18"/>
                <w:u w:val="none"/>
              </w:rPr>
              <w:t>Identification No.)</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12"/>
        </w:rPr>
      </w:pPr>
    </w:p>
    <w:tbl>
      <w:tblPr>
        <w:tblW w:w="7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675"/>
        <w:gridCol w:w="2205"/>
        <w:gridCol w:w="1605"/>
      </w:tblGrid>
      <w:tr>
        <w:tblPrEx>
          <w:tblW w:w="7485" w:type="dxa"/>
          <w:tblLayout w:type="fixed"/>
        </w:tblPrEx>
        <w:trPr>
          <w:cantSplit/>
          <w:trHeight w:hRule="exact" w:val="285"/>
        </w:trPr>
        <w:tc>
          <w:tcPr>
            <w:tcW w:w="3675" w:type="dxa"/>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53" w:after="3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color w:val="000000"/>
                <w:sz w:val="18"/>
                <w:u w:val="none"/>
              </w:rPr>
              <w:t>6210 Ardrey Kell Road</w:t>
            </w:r>
            <w:r>
              <w:rPr>
                <w:rFonts w:ascii="Times New Roman" w:eastAsia="Times New Roman" w:hAnsi="Times New Roman" w:cs="Times New Roman"/>
                <w:b/>
                <w:i w:val="0"/>
                <w:sz w:val="18"/>
              </w:rPr>
              <w:t xml:space="preserve">, </w:t>
            </w:r>
            <w:r>
              <w:rPr>
                <w:rFonts w:ascii="Times New Roman" w:eastAsia="Times New Roman" w:hAnsi="Times New Roman" w:cs="Times New Roman"/>
                <w:b/>
                <w:i w:val="0"/>
                <w:color w:val="000000"/>
                <w:sz w:val="18"/>
                <w:u w:val="none"/>
              </w:rPr>
              <w:t xml:space="preserve"> Suite 120</w:t>
            </w:r>
          </w:p>
        </w:tc>
        <w:tc>
          <w:tcPr>
            <w:tcW w:w="22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8"/>
              </w:rPr>
            </w:pPr>
          </w:p>
        </w:tc>
        <w:tc>
          <w:tcPr>
            <w:tcW w:w="16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7485" w:type="dxa"/>
          <w:tblLayout w:type="fixed"/>
        </w:tblPrEx>
        <w:trPr>
          <w:cantSplit/>
          <w:trHeight w:hRule="exact" w:val="285"/>
        </w:trPr>
        <w:tc>
          <w:tcPr>
            <w:tcW w:w="3675" w:type="dxa"/>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53" w:after="3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color w:val="000000"/>
                <w:sz w:val="18"/>
                <w:u w:val="none"/>
              </w:rPr>
              <w:t>Charlotte</w:t>
            </w:r>
            <w:r>
              <w:rPr>
                <w:rFonts w:ascii="Times New Roman" w:eastAsia="Times New Roman" w:hAnsi="Times New Roman" w:cs="Times New Roman"/>
                <w:b/>
                <w:i w:val="0"/>
                <w:sz w:val="18"/>
              </w:rPr>
              <w:t xml:space="preserve">, </w:t>
            </w:r>
            <w:r>
              <w:rPr>
                <w:rFonts w:ascii="Times New Roman" w:eastAsia="Times New Roman" w:hAnsi="Times New Roman" w:cs="Times New Roman"/>
                <w:b/>
                <w:i w:val="0"/>
                <w:color w:val="000000"/>
                <w:sz w:val="18"/>
                <w:u w:val="none"/>
              </w:rPr>
              <w:t>North Carolina</w:t>
            </w:r>
          </w:p>
        </w:tc>
        <w:tc>
          <w:tcPr>
            <w:tcW w:w="22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8"/>
              </w:rPr>
            </w:pPr>
          </w:p>
        </w:tc>
        <w:tc>
          <w:tcPr>
            <w:tcW w:w="1605"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28277</w:t>
            </w:r>
          </w:p>
        </w:tc>
      </w:tr>
      <w:tr>
        <w:tblPrEx>
          <w:tblW w:w="7485" w:type="dxa"/>
          <w:tblLayout w:type="fixed"/>
        </w:tblPrEx>
        <w:trPr>
          <w:cantSplit/>
          <w:trHeight w:hRule="exact" w:val="315"/>
        </w:trPr>
        <w:tc>
          <w:tcPr>
            <w:tcW w:w="3675"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val="0"/>
                <w:i/>
                <w:color w:val="000000"/>
                <w:sz w:val="18"/>
                <w:u w:val="none"/>
              </w:rPr>
              <w:t>(Address of principal executive offices)</w:t>
            </w:r>
          </w:p>
        </w:tc>
        <w:tc>
          <w:tcPr>
            <w:tcW w:w="2205" w:type="dxa"/>
            <w:tcBorders>
              <w:top w:val="nil"/>
              <w:left w:val="nil"/>
              <w:bottom w:val="nil"/>
              <w:right w:val="nil"/>
            </w:tcBorders>
            <w:tcMar>
              <w:top w:w="0" w:type="dxa"/>
              <w:left w:w="0" w:type="dxa"/>
              <w:bottom w:w="0" w:type="dxa"/>
              <w:right w:w="0" w:type="dxa"/>
            </w:tcMar>
            <w:vAlign w:val="bottom"/>
          </w:tcPr>
          <w:p>
            <w:pPr>
              <w:pageBreakBefore w:val="0"/>
              <w:spacing w:before="0" w:after="0"/>
              <w:rPr>
                <w:sz w:val="18"/>
              </w:rPr>
            </w:pPr>
          </w:p>
        </w:tc>
        <w:tc>
          <w:tcPr>
            <w:tcW w:w="1605"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val="0"/>
                <w:i/>
                <w:color w:val="000000"/>
                <w:sz w:val="18"/>
                <w:u w:val="none"/>
              </w:rPr>
              <w:t>(Zip Code)</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18"/>
        </w:rPr>
      </w:pPr>
    </w:p>
    <w:p>
      <w:pPr>
        <w:keepNext w:val="0"/>
        <w:keepLines w:val="0"/>
        <w:pageBreakBefore w:val="0"/>
        <w:widowControl/>
        <w:numPr>
          <w:ilvl w:val="0"/>
          <w:numId w:val="0"/>
        </w:numPr>
        <w:spacing w:before="60" w:after="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color w:val="000000"/>
          <w:sz w:val="18"/>
          <w:u w:val="none"/>
        </w:rPr>
        <w:t>(980)</w:t>
      </w:r>
      <w:r>
        <w:rPr>
          <w:rFonts w:ascii="Times New Roman" w:eastAsia="Times New Roman" w:hAnsi="Times New Roman" w:cs="Times New Roman"/>
          <w:b/>
          <w:i w:val="0"/>
          <w:sz w:val="18"/>
        </w:rPr>
        <w:t xml:space="preserve"> </w:t>
      </w:r>
      <w:r>
        <w:rPr>
          <w:rFonts w:ascii="Times New Roman" w:eastAsia="Times New Roman" w:hAnsi="Times New Roman" w:cs="Times New Roman"/>
          <w:b/>
          <w:i w:val="0"/>
          <w:color w:val="000000"/>
          <w:sz w:val="18"/>
          <w:u w:val="none"/>
        </w:rPr>
        <w:t>264-4300</w:t>
      </w:r>
    </w:p>
    <w:p>
      <w:pPr>
        <w:keepNext w:val="0"/>
        <w:keepLines w:val="0"/>
        <w:pageBreakBefore w:val="0"/>
        <w:widowControl/>
        <w:numPr>
          <w:ilvl w:val="0"/>
          <w:numId w:val="0"/>
        </w:numPr>
        <w:spacing w:before="0" w:after="60" w:line="240" w:lineRule="auto"/>
        <w:ind w:left="0" w:right="0" w:firstLine="0"/>
        <w:jc w:val="center"/>
        <w:outlineLvl w:val="9"/>
        <w:rPr>
          <w:rFonts w:ascii="Times New Roman" w:eastAsia="Times New Roman" w:hAnsi="Times New Roman" w:cs="Times New Roman"/>
          <w:b w:val="0"/>
          <w:i/>
          <w:sz w:val="18"/>
        </w:rPr>
      </w:pPr>
      <w:r>
        <w:rPr>
          <w:rFonts w:ascii="Times New Roman" w:eastAsia="Times New Roman" w:hAnsi="Times New Roman" w:cs="Times New Roman"/>
          <w:b w:val="0"/>
          <w:i/>
          <w:sz w:val="18"/>
        </w:rPr>
        <w:t>(Registrant’s telephone number, including area code) </w:t>
      </w:r>
    </w:p>
    <w:p>
      <w:pPr>
        <w:keepNext w:val="0"/>
        <w:keepLines w:val="0"/>
        <w:pageBreakBefore w:val="0"/>
        <w:widowControl/>
        <w:numPr>
          <w:ilvl w:val="0"/>
          <w:numId w:val="0"/>
        </w:numPr>
        <w:spacing w:before="180" w:after="0" w:line="240" w:lineRule="auto"/>
        <w:ind w:left="0" w:right="0" w:firstLine="0"/>
        <w:jc w:val="center"/>
        <w:outlineLvl w:val="9"/>
        <w:rPr>
          <w:rFonts w:ascii="Times New Roman" w:eastAsia="Times New Roman" w:hAnsi="Times New Roman" w:cs="Times New Roman"/>
          <w:b/>
          <w:i w:val="0"/>
          <w:sz w:val="16"/>
        </w:rPr>
      </w:pPr>
      <w:r>
        <w:rPr>
          <w:rFonts w:ascii="Times New Roman" w:eastAsia="Times New Roman" w:hAnsi="Times New Roman" w:cs="Times New Roman"/>
          <w:b/>
          <w:i w:val="0"/>
          <w:sz w:val="16"/>
        </w:rPr>
        <w:t>(Former name or former address, if changed since last report)</w:t>
      </w:r>
    </w:p>
    <w:tbl>
      <w:tblPr>
        <w:tblW w:w="3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060"/>
      </w:tblGrid>
      <w:tr>
        <w:tblPrEx>
          <w:tblW w:w="3060" w:type="dxa"/>
          <w:tblLayout w:type="fixed"/>
        </w:tblPrEx>
        <w:trPr>
          <w:cantSplit/>
          <w:trHeight w:hRule="exact" w:val="75"/>
        </w:trPr>
        <w:tc>
          <w:tcPr>
            <w:tcW w:w="3060" w:type="dxa"/>
            <w:tcBorders>
              <w:top w:val="single" w:sz="8" w:space="0" w:color="000000"/>
              <w:left w:val="nil"/>
              <w:bottom w:val="nil"/>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15"/>
        <w:gridCol w:w="9945"/>
      </w:tblGrid>
      <w:tr>
        <w:tblPrEx>
          <w:tblW w:w="10260" w:type="dxa"/>
          <w:tblLayout w:type="fixed"/>
        </w:tblPrEx>
        <w:trPr>
          <w:cantSplit/>
          <w:trHeight w:hRule="auto" w:val="0"/>
        </w:trPr>
        <w:tc>
          <w:tcPr>
            <w:tcW w:w="10260" w:type="dxa"/>
            <w:gridSpan w:val="2"/>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43" w:after="2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Check the appropriate box if the Form 8-K filing is intended to simultaneously satisfy the filing obligation of the registrant under any of the following provisions (see General Instruction A.2. below):</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Written communications pursuant to Rule 425 under the Securities Act (17 CFR 230.425)</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Soliciting material pursuant to Rule 14a-12 under the Exchange Act (17 CFR 240.14a-12)</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Pre-commencement communications pursuant to Rule 14d-2(b) under the Exchange Act (17 CFR 240.14d- 2(b))</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pageBreakBefore w:val="0"/>
              <w:spacing w:before="0" w:after="0" w:line="240" w:lineRule="auto"/>
              <w:jc w:val="left"/>
            </w:pPr>
            <w:r>
              <w:rPr>
                <w:rFonts w:ascii="Times New Roman" w:eastAsia="Times New Roman" w:hAnsi="Times New Roman" w:cs="Times New Roman"/>
                <w:b w:val="0"/>
                <w:i w:val="0"/>
                <w:color w:val="000000"/>
                <w:sz w:val="20"/>
                <w:u w:val="none"/>
              </w:rPr>
              <w:t>Pre-commencement communications pursuant to Rule 13e-4(c) under the Exchange Act (17 CFR 240.13e- 4(c))</w:t>
            </w:r>
          </w:p>
        </w:tc>
      </w:tr>
    </w:tb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000"/>
        <w:gridCol w:w="165"/>
        <w:gridCol w:w="3000"/>
        <w:gridCol w:w="165"/>
        <w:gridCol w:w="3000"/>
      </w:tblGrid>
      <w:tr>
        <w:tblPrEx>
          <w:tblW w:w="9330" w:type="dxa"/>
          <w:tblLayout w:type="fixed"/>
        </w:tblPrEx>
        <w:trPr>
          <w:cantSplit/>
          <w:trHeight w:hRule="exact" w:val="255"/>
        </w:trPr>
        <w:tc>
          <w:tcPr>
            <w:tcW w:w="9330" w:type="dxa"/>
            <w:gridSpan w:val="5"/>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16"/>
                <w:u w:val="none"/>
              </w:rPr>
              <w:t>Securities registered pursuant to Section 12(b) of the Act:</w:t>
            </w:r>
          </w:p>
        </w:tc>
      </w:tr>
      <w:tr>
        <w:tblPrEx>
          <w:tblW w:w="9330" w:type="dxa"/>
          <w:tblLayout w:type="fixed"/>
        </w:tblPrEx>
        <w:trPr>
          <w:cantSplit/>
          <w:trHeight w:hRule="exact" w:val="255"/>
        </w:trPr>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color w:val="000000"/>
                <w:sz w:val="16"/>
                <w:u w:val="none"/>
              </w:rPr>
              <w:t>Title of each class</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color w:val="000000"/>
                <w:sz w:val="16"/>
                <w:u w:val="none"/>
              </w:rPr>
              <w:t>Trading symbol</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color w:val="000000"/>
                <w:sz w:val="16"/>
                <w:u w:val="none"/>
              </w:rPr>
              <w:t>Name of each exchange on which registered</w:t>
            </w:r>
          </w:p>
        </w:tc>
      </w:tr>
      <w:tr>
        <w:tblPrEx>
          <w:tblW w:w="9330" w:type="dxa"/>
          <w:tblLayout w:type="fixed"/>
        </w:tblPrEx>
        <w:trPr>
          <w:cantSplit/>
          <w:trHeight w:hRule="exact" w:val="255"/>
        </w:trPr>
        <w:tc>
          <w:tcPr>
            <w:tcW w:w="300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i w:val="0"/>
                <w:color w:val="000000"/>
                <w:sz w:val="16"/>
                <w:u w:val="none"/>
              </w:rPr>
              <w:t>Common Stock, par value $0.01</w:t>
            </w:r>
          </w:p>
        </w:tc>
        <w:tc>
          <w:tcPr>
            <w:tcW w:w="1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i w:val="0"/>
                <w:color w:val="000000"/>
                <w:sz w:val="16"/>
                <w:u w:val="none"/>
              </w:rPr>
              <w:t>NNBR</w:t>
            </w:r>
          </w:p>
        </w:tc>
        <w:tc>
          <w:tcPr>
            <w:tcW w:w="1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i w:val="0"/>
                <w:color w:val="000000"/>
                <w:sz w:val="16"/>
                <w:u w:val="none"/>
              </w:rPr>
              <w:t>The Nasdaq Stock Market LLC</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945"/>
        <w:gridCol w:w="315"/>
      </w:tblGrid>
      <w:tr>
        <w:tblPrEx>
          <w:tblW w:w="10260" w:type="dxa"/>
          <w:tblLayout w:type="fixed"/>
        </w:tblPrEx>
        <w:trPr>
          <w:cantSplit/>
          <w:trHeight w:hRule="auto" w:val="0"/>
        </w:trPr>
        <w:tc>
          <w:tcPr>
            <w:tcW w:w="10260" w:type="dxa"/>
            <w:gridSpan w:val="2"/>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43" w:after="2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Indicate by check mark whether the registrant is an emerging growth company as defined in Rule 405 of the Securities Act of 1933 (§230.405 of this chapter) or Rule 12b-2 of the Securities Exchange Act of 1934 (§240.12b-2 of this chapter).</w:t>
            </w:r>
          </w:p>
        </w:tc>
      </w:tr>
      <w:tr>
        <w:tblPrEx>
          <w:tblW w:w="10260" w:type="dxa"/>
          <w:tblLayout w:type="fixed"/>
        </w:tblPrEx>
        <w:trPr>
          <w:cantSplit/>
          <w:trHeight w:hRule="exact" w:val="345"/>
        </w:trPr>
        <w:tc>
          <w:tcPr>
            <w:tcW w:w="9945" w:type="dxa"/>
            <w:tcBorders>
              <w:top w:val="nil"/>
              <w:left w:val="nil"/>
              <w:bottom w:val="nil"/>
              <w:right w:val="nil"/>
            </w:tcBorders>
            <w:tcMar>
              <w:top w:w="0" w:type="dxa"/>
              <w:left w:w="0" w:type="dxa"/>
              <w:bottom w:w="0" w:type="dxa"/>
              <w:right w:w="53" w:type="dxa"/>
            </w:tcMar>
            <w:vAlign w:val="center"/>
          </w:tcPr>
          <w:p>
            <w:pPr>
              <w:keepNext/>
              <w:pageBreakBefore w:val="0"/>
              <w:spacing w:before="0" w:after="0" w:line="240" w:lineRule="auto"/>
              <w:jc w:val="right"/>
            </w:pPr>
            <w:r>
              <w:rPr>
                <w:rFonts w:ascii="Times New Roman" w:eastAsia="Times New Roman" w:hAnsi="Times New Roman" w:cs="Times New Roman"/>
                <w:b w:val="0"/>
                <w:i w:val="0"/>
                <w:color w:val="000000"/>
                <w:sz w:val="20"/>
                <w:u w:val="none"/>
              </w:rPr>
              <w:t xml:space="preserve">Emerging growth company.  </w:t>
            </w:r>
          </w:p>
        </w:tc>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center"/>
            </w:pPr>
            <w:r>
              <w:rPr>
                <w:rFonts w:ascii="Times New Roman" w:eastAsia="Times New Roman" w:hAnsi="Times New Roman" w:cs="Times New Roman"/>
                <w:b w:val="0"/>
                <w:i w:val="0"/>
                <w:color w:val="000000"/>
                <w:sz w:val="20"/>
                <w:u w:val="none"/>
              </w:rPr>
              <w:t>☐</w:t>
            </w:r>
          </w:p>
        </w:tc>
      </w:tr>
      <w:tr>
        <w:tblPrEx>
          <w:tblW w:w="10260" w:type="dxa"/>
          <w:tblLayout w:type="fixed"/>
        </w:tblPrEx>
        <w:trPr>
          <w:cantSplit/>
          <w:trHeight w:hRule="exact" w:val="735"/>
        </w:trPr>
        <w:tc>
          <w:tcPr>
            <w:tcW w:w="10260" w:type="dxa"/>
            <w:gridSpan w:val="2"/>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left"/>
            </w:pPr>
            <w:r>
              <w:rPr>
                <w:rFonts w:ascii="Times New Roman" w:eastAsia="Times New Roman" w:hAnsi="Times New Roman" w:cs="Times New Roman"/>
                <w:b w:val="0"/>
                <w:i w:val="0"/>
                <w:color w:val="000000"/>
                <w:sz w:val="20"/>
                <w:u w:val="none"/>
              </w:rPr>
              <w:t>If an emerging growth company, indicate by check mark if the registrant has elected not to use the extended transition period for complying with any new or revised financial accounting standards provided pursuant to Section 13(a) of the Exchange Act.  ☐</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Layout w:type="fixed"/>
        </w:tblPrEx>
        <w:trPr>
          <w:cantSplit/>
          <w:trHeight w:hRule="exact" w:val="60"/>
        </w:trPr>
        <w:tc>
          <w:tcPr>
            <w:tcW w:w="9360" w:type="dxa"/>
            <w:tcBorders>
              <w:top w:val="nil"/>
              <w:left w:val="nil"/>
              <w:bottom w:val="double" w:sz="8" w:space="0" w:color="000000"/>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4"/>
              </w:rPr>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
        </w:rPr>
      </w:pP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
        </w:rPr>
        <w:sectPr>
          <w:headerReference w:type="default" r:id="rId5"/>
          <w:footerReference w:type="default" r:id="rId6"/>
          <w:type w:val="continuous"/>
          <w:pgSz w:w="12240" w:h="15840"/>
          <w:pgMar w:top="450" w:right="1440" w:bottom="1440" w:left="1440" w:header="0" w:footer="0" w:gutter="0"/>
          <w:cols w:space="720"/>
          <w:docGrid w:linePitch="360"/>
        </w:sectPr>
      </w:pPr>
    </w:p>
    <w:p>
      <w:pPr>
        <w:keepNext w:val="0"/>
        <w:keepLines w:val="0"/>
        <w:pageBreakBefore w:val="0"/>
        <w:widowControl/>
        <w:numPr>
          <w:ilvl w:val="0"/>
          <w:numId w:val="0"/>
        </w:numPr>
        <w:spacing w:before="0" w:after="0" w:line="334" w:lineRule="auto"/>
        <w:ind w:left="0" w:right="0" w:firstLine="0"/>
        <w:jc w:val="left"/>
        <w:outlineLvl w:val="0"/>
        <w:rPr>
          <w:rFonts w:ascii="Arial" w:eastAsia="Arial" w:hAnsi="Arial" w:cs="Arial"/>
          <w:b/>
          <w:i w:val="0"/>
          <w:sz w:val="20"/>
        </w:rPr>
      </w:pPr>
      <w:bookmarkStart w:id="0" w:name="Section2"/>
      <w:bookmarkEnd w:id="0"/>
      <w:r>
        <w:rPr>
          <w:rFonts w:ascii="Times New Roman" w:eastAsia="Times New Roman" w:hAnsi="Times New Roman" w:cs="Times New Roman"/>
          <w:b/>
          <w:i w:val="0"/>
          <w:sz w:val="20"/>
        </w:rPr>
        <w:t>ITEM 7.01 REGULATION FD DISCLOSURE</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7"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On October 8, 2026,</w:t>
      </w:r>
      <w:r>
        <w:rPr>
          <w:rFonts w:ascii="Times New Roman" w:eastAsia="Times New Roman" w:hAnsi="Times New Roman" w:cs="Times New Roman"/>
          <w:b w:val="0"/>
          <w:i w:val="0"/>
          <w:sz w:val="20"/>
        </w:rPr>
        <w:t xml:space="preserve"> N</w:t>
      </w:r>
      <w:r>
        <w:rPr>
          <w:rFonts w:ascii="Times New Roman" w:eastAsia="Times New Roman" w:hAnsi="Times New Roman" w:cs="Times New Roman"/>
          <w:b w:val="0"/>
          <w:i w:val="0"/>
          <w:sz w:val="20"/>
        </w:rPr>
        <w:t>N, Inc.</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sz w:val="20"/>
        </w:rPr>
        <w:t>(</w:t>
      </w:r>
      <w:r>
        <w:rPr>
          <w:rFonts w:ascii="Times New Roman" w:eastAsia="Times New Roman" w:hAnsi="Times New Roman" w:cs="Times New Roman"/>
          <w:b w:val="0"/>
          <w:i w:val="0"/>
          <w:sz w:val="20"/>
        </w:rPr>
        <w:t xml:space="preserve">the </w:t>
      </w:r>
      <w:r>
        <w:rPr>
          <w:rFonts w:ascii="Times New Roman" w:eastAsia="Times New Roman" w:hAnsi="Times New Roman" w:cs="Times New Roman"/>
          <w:b w:val="0"/>
          <w:i w:val="0"/>
          <w:sz w:val="20"/>
        </w:rPr>
        <w:t>"</w:t>
      </w:r>
      <w:r>
        <w:rPr>
          <w:rFonts w:ascii="Times New Roman" w:eastAsia="Times New Roman" w:hAnsi="Times New Roman" w:cs="Times New Roman"/>
          <w:b w:val="0"/>
          <w:i w:val="0"/>
          <w:sz w:val="20"/>
        </w:rPr>
        <w:t>Company</w:t>
      </w:r>
      <w:r>
        <w:rPr>
          <w:rFonts w:ascii="Times New Roman" w:eastAsia="Times New Roman" w:hAnsi="Times New Roman" w:cs="Times New Roman"/>
          <w:b w:val="0"/>
          <w:i w:val="0"/>
          <w:sz w:val="20"/>
        </w:rPr>
        <w:t>"</w:t>
      </w:r>
      <w:r>
        <w:rPr>
          <w:rFonts w:ascii="Times New Roman" w:eastAsia="Times New Roman" w:hAnsi="Times New Roman" w:cs="Times New Roman"/>
          <w:b w:val="0"/>
          <w:i w:val="0"/>
          <w:sz w:val="20"/>
        </w:rPr>
        <w:t>)</w:t>
      </w:r>
      <w:r>
        <w:rPr>
          <w:rFonts w:ascii="Times New Roman" w:eastAsia="Times New Roman" w:hAnsi="Times New Roman" w:cs="Times New Roman"/>
          <w:b w:val="0"/>
          <w:i w:val="0"/>
          <w:sz w:val="20"/>
        </w:rPr>
        <w:t xml:space="preserve"> issued a press release announcing the Final Redemption (as defined below). A copy of the press release is furnished hereto as Exhibit 99.1.</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Pursuant to the rules and regulations of the U.S. Securities and Exchange Commission, the information furnished pursuant to this Item 7.01 of this Current Report (including Exhibit 99.1) is deemed to have been furnished and shall not be deemed “filed” for the purposes of Section 18 of the Securities Exchange Act of 1934, as amended, or otherwise subject to the liabilities of that section. Such information shall not be incorporated by reference into any other filing of the Company under the Securities Act of 1933, as amended, or the Exchange Act, whether made before or after the date hereof, regardless of any general incorporation language in such filing.</w:t>
      </w: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334" w:lineRule="auto"/>
        <w:ind w:left="0" w:right="0" w:firstLine="0"/>
        <w:jc w:val="left"/>
        <w:outlineLvl w:val="9"/>
        <w:rPr>
          <w:rFonts w:ascii="Arial" w:eastAsia="Arial" w:hAnsi="Arial" w:cs="Arial"/>
          <w:b/>
          <w:i w:val="0"/>
          <w:sz w:val="20"/>
        </w:rPr>
      </w:pPr>
      <w:r>
        <w:rPr>
          <w:rFonts w:ascii="Times New Roman" w:eastAsia="Times New Roman" w:hAnsi="Times New Roman" w:cs="Times New Roman"/>
          <w:b/>
          <w:i w:val="0"/>
          <w:sz w:val="20"/>
        </w:rPr>
        <w:t xml:space="preserve">ITEM </w:t>
      </w:r>
      <w:r>
        <w:rPr>
          <w:rFonts w:ascii="Times New Roman" w:eastAsia="Times New Roman" w:hAnsi="Times New Roman" w:cs="Times New Roman"/>
          <w:b/>
          <w:i w:val="0"/>
          <w:sz w:val="20"/>
        </w:rPr>
        <w:t>8</w:t>
      </w:r>
      <w:r>
        <w:rPr>
          <w:rFonts w:ascii="Times New Roman" w:eastAsia="Times New Roman" w:hAnsi="Times New Roman" w:cs="Times New Roman"/>
          <w:b/>
          <w:i w:val="0"/>
          <w:sz w:val="20"/>
        </w:rPr>
        <w:t xml:space="preserve">.01 </w:t>
      </w:r>
      <w:r>
        <w:rPr>
          <w:rFonts w:ascii="Times New Roman" w:eastAsia="Times New Roman" w:hAnsi="Times New Roman" w:cs="Times New Roman"/>
          <w:b/>
          <w:i w:val="0"/>
          <w:sz w:val="20"/>
        </w:rPr>
        <w:t>OTHER EVENTS</w:t>
      </w: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 xml:space="preserve">On October 7, 2026, </w:t>
      </w:r>
      <w:r>
        <w:rPr>
          <w:rFonts w:ascii="Times New Roman" w:eastAsia="Times New Roman" w:hAnsi="Times New Roman" w:cs="Times New Roman"/>
          <w:b w:val="0"/>
          <w:i w:val="0"/>
          <w:sz w:val="20"/>
        </w:rPr>
        <w:t xml:space="preserve">the Company </w:t>
      </w:r>
      <w:r>
        <w:rPr>
          <w:rFonts w:ascii="Times New Roman" w:eastAsia="Times New Roman" w:hAnsi="Times New Roman" w:cs="Times New Roman"/>
          <w:b w:val="0"/>
          <w:i w:val="0"/>
          <w:sz w:val="20"/>
        </w:rPr>
        <w:t>redeemed all 18,400 remaining outstanding shares of its Series D Perpetual Preferred Stock, par value $0.01 per share (the "Series D Preferred Stock") (the "Final Redemption"), for an aggregate cash Redemption Price (as defined in the Certificate of Designation of Series D Perpetual Preferred Stock (the “Certificate of Designation”)) of approximately $</w:t>
      </w:r>
      <w:r>
        <w:rPr>
          <w:rFonts w:ascii="Times New Roman" w:eastAsia="Times New Roman" w:hAnsi="Times New Roman" w:cs="Times New Roman"/>
          <w:b w:val="0"/>
          <w:i w:val="0"/>
          <w:sz w:val="20"/>
        </w:rPr>
        <w:t>30.7</w:t>
      </w:r>
      <w:r>
        <w:rPr>
          <w:rFonts w:ascii="Times New Roman" w:eastAsia="Times New Roman" w:hAnsi="Times New Roman" w:cs="Times New Roman"/>
          <w:b w:val="0"/>
          <w:i w:val="0"/>
          <w:sz w:val="20"/>
        </w:rPr>
        <w:t xml:space="preserve"> million. That amount reflects the $5.0 million reduction provided under the Exchange Agreement between the Company and NHTV Nevada Holdings LP (the “Holder”), dated August 5, 2026. Immediately after the Final Redemption was completed, all of the Holder’s rights with respect to the Series D Preferred Stock ended. This includes the Holder's rights under the Board Observer Agreement, dated March 22, 2021, between the Company and the Holder. After the Final Redemption, no shares of Series D Preferred Stock remain outstanding.</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312" w:lineRule="auto"/>
        <w:ind w:left="0" w:right="0" w:firstLine="720"/>
        <w:jc w:val="left"/>
        <w:outlineLvl w:val="9"/>
        <w:sectPr>
          <w:headerReference w:type="default" r:id="rId7"/>
          <w:pgSz w:w="12240" w:h="15840"/>
          <w:pgMar w:top="1440" w:right="1440" w:bottom="1440" w:left="1440" w:header="0" w:footer="0"/>
          <w:cols w:space="720"/>
        </w:sectPr>
      </w:pPr>
    </w:p>
    <w:p>
      <w:pPr>
        <w:keepNext w:val="0"/>
        <w:keepLines w:val="0"/>
        <w:pageBreakBefore w:val="0"/>
        <w:widowControl/>
        <w:numPr>
          <w:ilvl w:val="0"/>
          <w:numId w:val="0"/>
        </w:numPr>
        <w:spacing w:before="0" w:after="0" w:line="269" w:lineRule="auto"/>
        <w:ind w:left="0" w:right="0" w:firstLine="0"/>
        <w:jc w:val="left"/>
        <w:outlineLvl w:val="1"/>
        <w:rPr>
          <w:rFonts w:ascii="Times New Roman" w:eastAsia="Times New Roman" w:hAnsi="Times New Roman" w:cs="Times New Roman"/>
          <w:b w:val="0"/>
          <w:i w:val="0"/>
          <w:sz w:val="24"/>
        </w:rPr>
      </w:pPr>
      <w:bookmarkStart w:id="1" w:name="Section3"/>
      <w:bookmarkEnd w:id="1"/>
      <w:r>
        <w:rPr>
          <w:rFonts w:ascii="Times New Roman" w:eastAsia="Times New Roman" w:hAnsi="Times New Roman" w:cs="Times New Roman"/>
          <w:b/>
          <w:i w:val="0"/>
          <w:sz w:val="20"/>
        </w:rPr>
        <w:t xml:space="preserve">ITEM 9.01 FINANCIAL STATEMENTS AND EXHIBITS </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269" w:lineRule="auto"/>
        <w:ind w:left="0" w:right="0" w:firstLine="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sz w:val="20"/>
        </w:rPr>
        <w:t>(d) Exhibits.</w:t>
      </w:r>
    </w:p>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tbl>
      <w:tblPr>
        <w:tblW w:w="102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645"/>
        <w:gridCol w:w="165"/>
        <w:gridCol w:w="9450"/>
      </w:tblGrid>
      <w:tr>
        <w:tblPrEx>
          <w:tblW w:w="10260"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53" w:type="dxa"/>
            </w:tcMar>
            <w:vAlign w:val="bottom"/>
          </w:tcPr>
          <w:p>
            <w:pPr>
              <w:keepNext/>
              <w:pageBreakBefore w:val="0"/>
              <w:spacing w:before="43" w:line="240" w:lineRule="auto"/>
              <w:jc w:val="center"/>
            </w:pPr>
            <w:r>
              <w:rPr>
                <w:rFonts w:ascii="Times New Roman" w:eastAsia="Times New Roman" w:hAnsi="Times New Roman" w:cs="Times New Roman"/>
                <w:b/>
                <w:i w:val="0"/>
                <w:color w:val="000000"/>
                <w:sz w:val="16"/>
                <w:u w:val="single"/>
              </w:rPr>
              <w:t>Exhibit</w:t>
            </w:r>
          </w:p>
          <w:p>
            <w:pPr>
              <w:spacing w:after="20" w:line="240" w:lineRule="auto"/>
              <w:jc w:val="center"/>
            </w:pPr>
            <w:r>
              <w:rPr>
                <w:rFonts w:ascii="Times New Roman" w:eastAsia="Times New Roman" w:hAnsi="Times New Roman" w:cs="Times New Roman"/>
                <w:b/>
                <w:i w:val="0"/>
                <w:color w:val="000000"/>
                <w:sz w:val="16"/>
                <w:u w:val="single"/>
              </w:rPr>
              <w:t>No.</w:t>
            </w:r>
          </w:p>
        </w:tc>
        <w:tc>
          <w:tcPr>
            <w:tcW w:w="165" w:type="dxa"/>
            <w:tcBorders>
              <w:top w:val="nil"/>
              <w:left w:val="nil"/>
              <w:bottom w:val="nil"/>
              <w:right w:val="nil"/>
            </w:tcBorders>
            <w:tcMar>
              <w:top w:w="0" w:type="dxa"/>
              <w:left w:w="53" w:type="dxa"/>
              <w:bottom w:w="0" w:type="dxa"/>
              <w:right w:w="53" w:type="dxa"/>
            </w:tcMar>
            <w:vAlign w:val="bottom"/>
          </w:tcPr>
          <w:p>
            <w:pPr>
              <w:keepNext/>
              <w:pageBreakBefore w:val="0"/>
              <w:spacing w:before="43" w:after="20" w:line="240" w:lineRule="auto"/>
              <w:jc w:val="left"/>
            </w:pPr>
            <w:r>
              <w:rPr>
                <w:rFonts w:ascii="Times New Roman" w:eastAsia="Times New Roman" w:hAnsi="Times New Roman" w:cs="Times New Roman"/>
                <w:b w:val="0"/>
                <w:i w:val="0"/>
                <w:color w:val="000000"/>
                <w:sz w:val="16"/>
                <w:u w:val="none"/>
              </w:rPr>
              <w:t>  </w:t>
            </w:r>
          </w:p>
        </w:tc>
        <w:tc>
          <w:tcPr>
            <w:tcW w:w="9450" w:type="dxa"/>
            <w:tcBorders>
              <w:top w:val="nil"/>
              <w:left w:val="nil"/>
              <w:bottom w:val="nil"/>
              <w:right w:val="nil"/>
            </w:tcBorders>
            <w:tcMar>
              <w:top w:w="0" w:type="dxa"/>
              <w:left w:w="53" w:type="dxa"/>
              <w:bottom w:w="0" w:type="dxa"/>
              <w:right w:w="53" w:type="dxa"/>
            </w:tcMar>
            <w:vAlign w:val="bottom"/>
          </w:tcPr>
          <w:p>
            <w:pPr>
              <w:keepNext/>
              <w:pageBreakBefore w:val="0"/>
              <w:spacing w:before="43" w:after="20" w:line="240" w:lineRule="auto"/>
              <w:jc w:val="left"/>
            </w:pPr>
            <w:r>
              <w:rPr>
                <w:rFonts w:ascii="Times New Roman" w:eastAsia="Times New Roman" w:hAnsi="Times New Roman" w:cs="Times New Roman"/>
                <w:b/>
                <w:i w:val="0"/>
                <w:color w:val="000000"/>
                <w:sz w:val="16"/>
                <w:u w:val="single"/>
              </w:rPr>
              <w:t>Description of Exhibit</w:t>
            </w:r>
          </w:p>
        </w:tc>
      </w:tr>
      <w:tr>
        <w:tblPrEx>
          <w:tblW w:w="10260" w:type="dxa"/>
          <w:tblInd w:w="0" w:type="dxa"/>
          <w:tblLayout w:type="fixed"/>
        </w:tblPrEx>
        <w:trPr>
          <w:cantSplit/>
          <w:trHeight w:hRule="exact" w:val="315"/>
        </w:trPr>
        <w:tc>
          <w:tcPr>
            <w:tcW w:w="645" w:type="dxa"/>
            <w:tcBorders>
              <w:top w:val="nil"/>
              <w:left w:val="nil"/>
              <w:bottom w:val="nil"/>
              <w:right w:val="nil"/>
            </w:tcBorders>
            <w:tcMar>
              <w:top w:w="0" w:type="dxa"/>
              <w:left w:w="53" w:type="dxa"/>
              <w:bottom w:w="0" w:type="dxa"/>
              <w:right w:w="15" w:type="dxa"/>
            </w:tcMar>
            <w:vAlign w:val="top"/>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99.1</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8" w:history="1">
              <w:r>
                <w:rPr>
                  <w:rFonts w:ascii="Times New Roman" w:eastAsia="Times New Roman" w:hAnsi="Times New Roman" w:cs="Times New Roman"/>
                  <w:b w:val="0"/>
                  <w:i w:val="0"/>
                  <w:color w:val="0000FF"/>
                  <w:sz w:val="20"/>
                  <w:u w:val="single"/>
                  <w:shd w:val="clear" w:color="auto" w:fill="auto"/>
                </w:rPr>
                <w:t>Press Release, dated October</w:t>
              </w:r>
            </w:hyperlink>
            <w:hyperlink r:id="rId9" w:history="1">
              <w:r>
                <w:rPr>
                  <w:rFonts w:ascii="Times New Roman" w:eastAsia="Times New Roman" w:hAnsi="Times New Roman" w:cs="Times New Roman"/>
                  <w:b w:val="0"/>
                  <w:i w:val="0"/>
                  <w:color w:val="0000FF"/>
                  <w:sz w:val="20"/>
                  <w:u w:val="single"/>
                  <w:shd w:val="clear" w:color="auto" w:fill="auto"/>
                </w:rPr>
                <w:t xml:space="preserve"> </w:t>
              </w:r>
            </w:hyperlink>
            <w:hyperlink r:id="rId10" w:history="1">
              <w:r>
                <w:rPr>
                  <w:rFonts w:ascii="Times New Roman" w:eastAsia="Times New Roman" w:hAnsi="Times New Roman" w:cs="Times New Roman"/>
                  <w:b w:val="0"/>
                  <w:i w:val="0"/>
                  <w:color w:val="0000FF"/>
                  <w:sz w:val="20"/>
                  <w:u w:val="single"/>
                  <w:shd w:val="clear" w:color="auto" w:fill="auto"/>
                </w:rPr>
                <w:t>8</w:t>
              </w:r>
            </w:hyperlink>
            <w:hyperlink r:id="rId11" w:history="1">
              <w:r>
                <w:rPr>
                  <w:rFonts w:ascii="Times New Roman" w:eastAsia="Times New Roman" w:hAnsi="Times New Roman" w:cs="Times New Roman"/>
                  <w:b w:val="0"/>
                  <w:i w:val="0"/>
                  <w:color w:val="0000FF"/>
                  <w:sz w:val="20"/>
                  <w:u w:val="single"/>
                  <w:shd w:val="clear" w:color="auto" w:fill="auto"/>
                </w:rPr>
                <w:t>, 2026</w:t>
              </w:r>
            </w:hyperlink>
          </w:p>
        </w:tc>
      </w:tr>
      <w:tr>
        <w:tblPrEx>
          <w:tblW w:w="10260"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15" w:type="dxa"/>
            </w:tcMar>
            <w:vAlign w:val="top"/>
          </w:tcPr>
          <w:p>
            <w:pPr>
              <w:pageBreakBefore w:val="0"/>
              <w:spacing w:before="43" w:after="20" w:line="240" w:lineRule="auto"/>
              <w:jc w:val="center"/>
            </w:pPr>
            <w:r>
              <w:rPr>
                <w:rFonts w:ascii="Times New Roman" w:eastAsia="Times New Roman" w:hAnsi="Times New Roman" w:cs="Times New Roman"/>
                <w:b w:val="0"/>
                <w:i w:val="0"/>
                <w:color w:val="000000"/>
                <w:sz w:val="20"/>
                <w:u w:val="none"/>
              </w:rPr>
              <w:t>104</w:t>
            </w:r>
          </w:p>
        </w:tc>
        <w:tc>
          <w:tcPr>
            <w:tcW w:w="1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9450" w:type="dxa"/>
            <w:tcBorders>
              <w:top w:val="nil"/>
              <w:left w:val="nil"/>
              <w:bottom w:val="nil"/>
              <w:right w:val="nil"/>
            </w:tcBorders>
            <w:tcMar>
              <w:top w:w="0" w:type="dxa"/>
              <w:left w:w="53" w:type="dxa"/>
              <w:bottom w:w="0" w:type="dxa"/>
              <w:right w:w="53" w:type="dxa"/>
            </w:tcMar>
            <w:vAlign w:val="top"/>
          </w:tcPr>
          <w:p>
            <w:pPr>
              <w:pageBreakBefore w:val="0"/>
              <w:spacing w:before="43" w:after="20" w:line="240" w:lineRule="auto"/>
              <w:jc w:val="left"/>
            </w:pPr>
            <w:r>
              <w:rPr>
                <w:rFonts w:ascii="Times New Roman" w:eastAsia="Times New Roman" w:hAnsi="Times New Roman" w:cs="Times New Roman"/>
                <w:b w:val="0"/>
                <w:i w:val="0"/>
                <w:color w:val="000000"/>
                <w:sz w:val="20"/>
                <w:u w:val="none"/>
              </w:rPr>
              <w:t>Cover Page Interactive Data File (embedded within the Inline XBRL document)</w:t>
            </w:r>
          </w:p>
        </w:tc>
      </w:tr>
    </w:tbl>
    <w:p>
      <w:pPr>
        <w:keepNext w:val="0"/>
        <w:keepLines w:val="0"/>
        <w:pageBreakBefore w:val="0"/>
        <w:widowControl/>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pPr>
        <w:keepNext w:val="0"/>
        <w:keepLines w:val="0"/>
        <w:pageBreakBefore w:val="0"/>
        <w:widowControl/>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sectPr>
          <w:type w:val="continuous"/>
          <w:pgSz w:w="12240" w:h="15840"/>
          <w:pgMar w:top="1440" w:right="1440" w:bottom="1440" w:left="1440" w:header="0" w:footer="0"/>
          <w:cols w:space="720"/>
        </w:sectPr>
      </w:pPr>
    </w:p>
    <w:p>
      <w:pPr>
        <w:keepNext w:val="0"/>
        <w:keepLines w:val="0"/>
        <w:pageBreakBefore w:val="0"/>
        <w:widowControl/>
        <w:numPr>
          <w:ilvl w:val="0"/>
          <w:numId w:val="0"/>
        </w:numPr>
        <w:spacing w:before="0" w:after="0" w:line="288" w:lineRule="auto"/>
        <w:ind w:left="0" w:right="0" w:firstLine="0"/>
        <w:jc w:val="center"/>
        <w:outlineLvl w:val="0"/>
        <w:rPr>
          <w:rFonts w:ascii="Times New Roman" w:eastAsia="Times New Roman" w:hAnsi="Times New Roman" w:cs="Times New Roman"/>
          <w:b/>
          <w:i w:val="0"/>
          <w:sz w:val="20"/>
        </w:rPr>
      </w:pPr>
      <w:bookmarkStart w:id="2" w:name="Section4"/>
      <w:bookmarkEnd w:id="2"/>
      <w:r>
        <w:rPr>
          <w:rFonts w:ascii="Times New Roman" w:eastAsia="Times New Roman" w:hAnsi="Times New Roman" w:cs="Times New Roman"/>
          <w:b/>
          <w:i w:val="0"/>
          <w:sz w:val="20"/>
        </w:rPr>
        <w:t>SIGNATURES</w:t>
      </w:r>
    </w:p>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600"/>
        <w:gridCol w:w="9660"/>
      </w:tblGrid>
      <w:tr>
        <w:tblPrEx>
          <w:tblW w:w="10260" w:type="dxa"/>
          <w:tblLayout w:type="fixed"/>
        </w:tblPrEx>
        <w:trPr>
          <w:cantSplit/>
          <w:trHeight w:hRule="auto" w:val="0"/>
        </w:trPr>
        <w:tc>
          <w:tcPr>
            <w:tcW w:w="10260" w:type="dxa"/>
            <w:gridSpan w:val="2"/>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43" w:after="20" w:line="240" w:lineRule="auto"/>
              <w:ind w:left="0" w:right="0" w:firstLine="495"/>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Pursuant to the requirements of the Securities Exchange Act of 1934, the registrant has duly caused this report to be signed on its behalf by the undersigned hereunto duly authorized.</w:t>
            </w:r>
          </w:p>
        </w:tc>
      </w:tr>
      <w:tr>
        <w:tblPrEx>
          <w:tblW w:w="10260" w:type="dxa"/>
          <w:tblLayout w:type="fixed"/>
        </w:tblPrEx>
        <w:trPr>
          <w:cantSplit/>
          <w:trHeight w:hRule="auto" w:val="0"/>
        </w:trPr>
        <w:tc>
          <w:tcPr>
            <w:tcW w:w="60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c>
          <w:tcPr>
            <w:tcW w:w="9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r>
      <w:tr>
        <w:tblPrEx>
          <w:tblW w:w="10260" w:type="dxa"/>
          <w:tblLayout w:type="fixed"/>
        </w:tblPrEx>
        <w:trPr>
          <w:cantSplit/>
          <w:trHeight w:hRule="auto" w:val="0"/>
        </w:trPr>
        <w:tc>
          <w:tcPr>
            <w:tcW w:w="600" w:type="dxa"/>
            <w:tcBorders>
              <w:top w:val="nil"/>
              <w:left w:val="nil"/>
              <w:bottom w:val="nil"/>
              <w:right w:val="nil"/>
            </w:tcBorders>
            <w:tcMar>
              <w:top w:w="0" w:type="dxa"/>
              <w:left w:w="53" w:type="dxa"/>
              <w:bottom w:w="0" w:type="dxa"/>
              <w:right w:w="53" w:type="dxa"/>
            </w:tcMar>
            <w:vAlign w:val="bottom"/>
          </w:tcPr>
          <w:p>
            <w:pPr>
              <w:pageBreakBefore w:val="0"/>
              <w:spacing w:before="43" w:after="20" w:line="240" w:lineRule="auto"/>
              <w:jc w:val="left"/>
            </w:pPr>
            <w:r>
              <w:rPr>
                <w:rFonts w:ascii="Times New Roman" w:eastAsia="Times New Roman" w:hAnsi="Times New Roman" w:cs="Times New Roman"/>
                <w:b w:val="0"/>
                <w:i w:val="0"/>
                <w:color w:val="000000"/>
                <w:sz w:val="20"/>
                <w:u w:val="none"/>
              </w:rPr>
              <w:t xml:space="preserve">Date: </w:t>
            </w:r>
          </w:p>
        </w:tc>
        <w:tc>
          <w:tcPr>
            <w:tcW w:w="9660" w:type="dxa"/>
            <w:tcBorders>
              <w:top w:val="nil"/>
              <w:left w:val="nil"/>
              <w:bottom w:val="nil"/>
              <w:right w:val="nil"/>
            </w:tcBorders>
            <w:tcMar>
              <w:top w:w="0" w:type="dxa"/>
              <w:left w:w="53" w:type="dxa"/>
              <w:bottom w:w="0" w:type="dxa"/>
              <w:right w:w="53" w:type="dxa"/>
            </w:tcMar>
            <w:vAlign w:val="bottom"/>
          </w:tcPr>
          <w:p>
            <w:pPr>
              <w:pageBreakBefore w:val="0"/>
              <w:spacing w:before="43" w:after="20" w:line="240" w:lineRule="auto"/>
              <w:jc w:val="left"/>
            </w:pPr>
            <w:r>
              <w:rPr>
                <w:rFonts w:ascii="Times New Roman" w:eastAsia="Times New Roman" w:hAnsi="Times New Roman" w:cs="Times New Roman"/>
                <w:b w:val="0"/>
                <w:i w:val="0"/>
                <w:color w:val="000000"/>
                <w:sz w:val="20"/>
                <w:u w:val="none"/>
              </w:rPr>
              <w:t>October 8, 2026</w:t>
            </w:r>
          </w:p>
        </w:tc>
      </w:tr>
    </w:tbl>
    <w:p>
      <w:pPr>
        <w:keepNext w:val="0"/>
        <w:keepLines w:val="0"/>
        <w:pageBreakBefore w:val="0"/>
        <w:widowControl/>
        <w:numPr>
          <w:ilvl w:val="0"/>
          <w:numId w:val="0"/>
        </w:numPr>
        <w:spacing w:before="0" w:after="100" w:line="240" w:lineRule="auto"/>
        <w:ind w:left="0" w:right="0" w:firstLine="0"/>
        <w:jc w:val="left"/>
        <w:outlineLvl w:val="9"/>
        <w:rPr>
          <w:rFonts w:ascii="Times New Roman" w:eastAsia="Times New Roman" w:hAnsi="Times New Roman" w:cs="Times New Roman"/>
          <w:b w:val="0"/>
          <w:i w:val="0"/>
          <w:sz w:val="24"/>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965"/>
        <w:gridCol w:w="945"/>
        <w:gridCol w:w="4350"/>
      </w:tblGrid>
      <w:tr>
        <w:tblPrEx>
          <w:tblW w:w="10260" w:type="dxa"/>
          <w:tblLayout w:type="fixed"/>
        </w:tblPrEx>
        <w:trPr>
          <w:cantSplit/>
          <w:trHeight w:hRule="exact" w:val="255"/>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5295" w:type="dxa"/>
            <w:gridSpan w:val="2"/>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NN, INC.</w:t>
            </w:r>
          </w:p>
        </w:tc>
      </w:tr>
      <w:tr>
        <w:tblPrEx>
          <w:tblW w:w="10260" w:type="dxa"/>
          <w:tblLayout w:type="fixed"/>
        </w:tblPrEx>
        <w:trPr>
          <w:cantSplit/>
          <w:trHeight w:hRule="exact" w:val="300"/>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c>
          <w:tcPr>
            <w:tcW w:w="435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r>
      <w:tr>
        <w:tblPrEx>
          <w:tblW w:w="10260" w:type="dxa"/>
          <w:tblLayout w:type="fixed"/>
        </w:tblPrEx>
        <w:trPr>
          <w:cantSplit/>
          <w:trHeight w:hRule="exact" w:val="285"/>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By:</w:t>
            </w:r>
          </w:p>
        </w:tc>
        <w:tc>
          <w:tcPr>
            <w:tcW w:w="435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 Christopher H. Bohnert</w:t>
            </w:r>
          </w:p>
        </w:tc>
      </w:tr>
      <w:tr>
        <w:tblPrEx>
          <w:tblW w:w="10260" w:type="dxa"/>
          <w:tblLayout w:type="fixed"/>
        </w:tblPrEx>
        <w:trPr>
          <w:cantSplit/>
          <w:trHeight w:hRule="exact" w:val="285"/>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Name:</w:t>
            </w:r>
          </w:p>
        </w:tc>
        <w:tc>
          <w:tcPr>
            <w:tcW w:w="4350" w:type="dxa"/>
            <w:tcBorders>
              <w:top w:val="single" w:sz="8" w:space="0" w:color="000000"/>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Christopher H. Bohnert</w:t>
            </w:r>
          </w:p>
        </w:tc>
      </w:tr>
      <w:tr>
        <w:tblPrEx>
          <w:tblW w:w="10260" w:type="dxa"/>
          <w:tblLayout w:type="fixed"/>
        </w:tblPrEx>
        <w:trPr>
          <w:cantSplit/>
          <w:trHeight w:hRule="exact" w:val="285"/>
        </w:trPr>
        <w:tc>
          <w:tcPr>
            <w:tcW w:w="49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94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Title:</w:t>
            </w:r>
          </w:p>
        </w:tc>
        <w:tc>
          <w:tcPr>
            <w:tcW w:w="435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left"/>
            </w:pPr>
            <w:r>
              <w:rPr>
                <w:rFonts w:ascii="Times New Roman" w:eastAsia="Times New Roman" w:hAnsi="Times New Roman" w:cs="Times New Roman"/>
                <w:b w:val="0"/>
                <w:i w:val="0"/>
                <w:color w:val="000000"/>
                <w:sz w:val="20"/>
                <w:u w:val="none"/>
              </w:rPr>
              <w:t>Senior Vice President and Chief Financial Officer</w:t>
            </w:r>
          </w:p>
        </w:tc>
      </w:tr>
    </w:tbl>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sectPr>
          <w:pgSz w:w="12240" w:h="15840"/>
          <w:pgMar w:top="1440" w:right="1440" w:bottom="1440" w:left="1440" w:header="0" w:footer="0"/>
          <w:cols w:space="720"/>
        </w:sectPr>
      </w:pPr>
    </w:p>
    <w:p>
      <w:pPr>
        <w:keepNext w:val="0"/>
        <w:keepLines w:val="0"/>
        <w:pageBreakBefore w:val="0"/>
        <w:widowControl/>
        <w:spacing w:before="0" w:after="0" w:line="240" w:lineRule="auto"/>
        <w:ind w:left="0" w:right="0" w:firstLine="0"/>
        <w:jc w:val="right"/>
        <w:outlineLvl w:val="9"/>
        <w:rPr>
          <w:rFonts w:ascii="Arial" w:eastAsia="Arial" w:hAnsi="Arial" w:cs="Arial"/>
          <w:b w:val="0"/>
          <w:i w:val="0"/>
          <w:color w:val="000000"/>
          <w:sz w:val="20"/>
        </w:rPr>
      </w:pPr>
      <w:r>
        <w:rPr>
          <w:rFonts w:ascii="Arial" w:eastAsia="Arial" w:hAnsi="Arial" w:cs="Arial"/>
          <w:b w:val="0"/>
          <w:i w:val="0"/>
          <w:color w:val="000000"/>
          <w:sz w:val="20"/>
        </w:rPr>
        <w:t>Exhibit 99.1</w:t>
      </w:r>
    </w:p>
    <w:p w:rsidR="00A77B3E">
      <w:pPr>
        <w:keepNext w:val="0"/>
        <w:keepLines w:val="0"/>
        <w:pageBreakBefore w:val="0"/>
        <w:widowControl/>
        <w:numPr>
          <w:ilvl w:val="0"/>
          <w:numId w:val="0"/>
        </w:numPr>
        <w:tabs>
          <w:tab w:val="left" w:pos="7620"/>
        </w:tabs>
        <w:spacing w:before="0" w:after="0" w:line="288" w:lineRule="auto"/>
        <w:ind w:left="152" w:right="0" w:firstLine="0"/>
        <w:jc w:val="left"/>
        <w:outlineLvl w:val="9"/>
        <w:rPr>
          <w:rFonts w:ascii="Calibri" w:eastAsia="Calibri" w:hAnsi="Calibri" w:cs="Calibri"/>
          <w:b w:val="0"/>
          <w:i w:val="0"/>
          <w:sz w:val="22"/>
        </w:rPr>
      </w:pPr>
      <w:bookmarkStart w:id="3" w:name="Section1"/>
      <w:bookmarkEnd w:id="3"/>
      <w:r>
        <w:rPr>
          <w:rFonts w:ascii="Times New Roman" w:eastAsia="Times New Roman" w:hAnsi="Times New Roman" w:cs="Times New Roman"/>
          <w:b w:val="0"/>
          <w:i w:val="0"/>
          <w:sz w:val="20"/>
        </w:rPr>
        <w:tab/>
      </w:r>
    </w:p>
    <w:p w:rsidR="00A77B3E">
      <w:pPr>
        <w:keepNext w:val="0"/>
        <w:keepLines w:val="0"/>
        <w:pageBreakBefore w:val="0"/>
        <w:widowControl/>
        <w:numPr>
          <w:ilvl w:val="0"/>
          <w:numId w:val="0"/>
        </w:numPr>
        <w:spacing w:before="11" w:after="0" w:line="288" w:lineRule="auto"/>
        <w:ind w:left="0" w:right="0" w:firstLine="0"/>
        <w:jc w:val="left"/>
        <w:outlineLvl w:val="9"/>
        <w:rPr>
          <w:rFonts w:ascii="Calibri" w:eastAsia="Calibri" w:hAnsi="Calibri" w:cs="Calibri"/>
          <w:b w:val="0"/>
          <w:i/>
          <w:color w:val="000000"/>
          <w:sz w:val="20"/>
          <w:u w:val="none"/>
        </w:rPr>
      </w:pPr>
      <w:r>
        <w:pict>
          <v:shape id="_x0000_i1026" type="#_x0000_t75" style="width:102.05pt;height:102.05pt">
            <v:imagedata r:id="rId15" o:title=""/>
            <o:lock v:ext="edit" aspectratio="t"/>
          </v:shape>
        </w:pict>
      </w:r>
    </w:p>
    <w:p w:rsidR="00A77B3E">
      <w:pPr>
        <w:keepNext w:val="0"/>
        <w:keepLines w:val="0"/>
        <w:pageBreakBefore w:val="0"/>
        <w:widowControl/>
        <w:numPr>
          <w:ilvl w:val="0"/>
          <w:numId w:val="0"/>
        </w:numPr>
        <w:spacing w:before="11" w:after="0" w:line="288" w:lineRule="auto"/>
        <w:ind w:left="0" w:right="0" w:firstLine="0"/>
        <w:jc w:val="center"/>
        <w:outlineLvl w:val="9"/>
        <w:rPr>
          <w:rFonts w:ascii="Calibri" w:eastAsia="Calibri" w:hAnsi="Calibri" w:cs="Calibri"/>
          <w:b w:val="0"/>
          <w:i/>
          <w:color w:val="000000"/>
          <w:sz w:val="36"/>
          <w:u w:val="none"/>
        </w:rPr>
      </w:pPr>
    </w:p>
    <w:p w:rsidR="00A77B3E">
      <w:pPr>
        <w:keepNext w:val="0"/>
        <w:keepLines w:val="0"/>
        <w:pageBreakBefore w:val="0"/>
        <w:widowControl/>
        <w:numPr>
          <w:ilvl w:val="0"/>
          <w:numId w:val="0"/>
        </w:numPr>
        <w:spacing w:before="11" w:after="0" w:line="288" w:lineRule="auto"/>
        <w:ind w:left="0" w:right="0" w:firstLine="0"/>
        <w:jc w:val="center"/>
        <w:outlineLvl w:val="9"/>
        <w:rPr>
          <w:rFonts w:ascii="Calibri" w:eastAsia="Calibri" w:hAnsi="Calibri" w:cs="Calibri"/>
          <w:b w:val="0"/>
          <w:i/>
          <w:color w:val="000000"/>
          <w:sz w:val="36"/>
          <w:u w:val="none"/>
        </w:rPr>
      </w:pPr>
    </w:p>
    <w:p w:rsidR="00A77B3E">
      <w:pPr>
        <w:pStyle w:val="BodyText-wk"/>
        <w:keepNext w:val="0"/>
        <w:keepLines w:val="0"/>
        <w:pageBreakBefore w:val="0"/>
        <w:widowControl/>
        <w:numPr>
          <w:ilvl w:val="0"/>
          <w:numId w:val="0"/>
        </w:numPr>
        <w:spacing w:before="11" w:after="0" w:line="300" w:lineRule="auto"/>
        <w:ind w:left="0" w:right="0" w:firstLine="0"/>
        <w:jc w:val="center"/>
        <w:outlineLvl w:val="0"/>
        <w:rPr>
          <w:rFonts w:ascii="Calibri" w:eastAsia="Calibri" w:hAnsi="Calibri" w:cs="Calibri"/>
          <w:b w:val="0"/>
          <w:i/>
          <w:color w:val="000000"/>
          <w:sz w:val="18"/>
          <w:u w:val="none"/>
        </w:rPr>
      </w:pPr>
      <w:r>
        <w:rPr>
          <w:rFonts w:ascii="Century Gothic" w:eastAsia="Century Gothic" w:hAnsi="Century Gothic" w:cs="Century Gothic"/>
          <w:b/>
          <w:i/>
          <w:color w:val="444444"/>
          <w:sz w:val="36"/>
          <w:u w:val="none"/>
        </w:rPr>
        <w:t>NN, Inc. Elimin</w:t>
      </w:r>
      <w:r>
        <w:rPr>
          <w:rFonts w:ascii="Century Gothic" w:eastAsia="Century Gothic" w:hAnsi="Century Gothic" w:cs="Century Gothic"/>
          <w:b/>
          <w:i/>
          <w:color w:val="444444"/>
          <w:sz w:val="36"/>
          <w:u w:val="none"/>
        </w:rPr>
        <w:t>a</w:t>
      </w:r>
      <w:r>
        <w:rPr>
          <w:rFonts w:ascii="Century Gothic" w:eastAsia="Century Gothic" w:hAnsi="Century Gothic" w:cs="Century Gothic"/>
          <w:b/>
          <w:i/>
          <w:color w:val="444444"/>
          <w:sz w:val="36"/>
          <w:u w:val="none"/>
        </w:rPr>
        <w:t xml:space="preserve">tes all of its Preferred Stock </w:t>
      </w:r>
    </w:p>
    <w:p w:rsidR="00A77B3E">
      <w:pPr>
        <w:keepNext w:val="0"/>
        <w:keepLines w:val="0"/>
        <w:pageBreakBefore w:val="0"/>
        <w:widowControl/>
        <w:numPr>
          <w:ilvl w:val="0"/>
          <w:numId w:val="0"/>
        </w:numPr>
        <w:spacing w:before="11" w:after="0" w:line="288" w:lineRule="auto"/>
        <w:ind w:left="0" w:right="0" w:firstLine="0"/>
        <w:jc w:val="left"/>
        <w:outlineLvl w:val="9"/>
        <w:rPr>
          <w:rFonts w:ascii="Calibri" w:eastAsia="Calibri" w:hAnsi="Calibri" w:cs="Calibri"/>
          <w:b w:val="0"/>
          <w:i/>
          <w:color w:val="000000"/>
          <w:sz w:val="36"/>
          <w:u w:val="none"/>
        </w:rPr>
      </w:pPr>
    </w:p>
    <w:p w:rsidR="00A77B3E">
      <w:pPr>
        <w:pStyle w:val="Heading1-wk"/>
        <w:keepNext w:val="0"/>
        <w:keepLines w:val="0"/>
        <w:pageBreakBefore w:val="0"/>
        <w:widowControl/>
        <w:numPr>
          <w:ilvl w:val="0"/>
          <w:numId w:val="0"/>
        </w:numPr>
        <w:spacing w:before="0" w:after="0" w:line="288" w:lineRule="auto"/>
        <w:ind w:left="0" w:right="0" w:firstLine="0"/>
        <w:jc w:val="left"/>
        <w:outlineLvl w:val="9"/>
        <w:rPr>
          <w:rFonts w:ascii="Calibri" w:eastAsia="Calibri" w:hAnsi="Calibri" w:cs="Calibri"/>
          <w:b/>
          <w:i w:val="0"/>
          <w:color w:val="000000"/>
          <w:sz w:val="22"/>
          <w:u w:val="none"/>
        </w:rPr>
      </w:pPr>
      <w:r>
        <w:rPr>
          <w:rFonts w:ascii="Arial" w:eastAsia="Arial" w:hAnsi="Arial" w:cs="Arial"/>
          <w:b/>
          <w:i w:val="0"/>
          <w:color w:val="000000"/>
          <w:sz w:val="21"/>
          <w:u w:val="none"/>
        </w:rPr>
        <w:t>FOR IMMEDIATE RELEASE</w:t>
      </w:r>
    </w:p>
    <w:p w:rsidR="00A77B3E">
      <w:pPr>
        <w:keepNext w:val="0"/>
        <w:keepLines w:val="0"/>
        <w:pageBreakBefore w:val="0"/>
        <w:widowControl/>
        <w:numPr>
          <w:ilvl w:val="0"/>
          <w:numId w:val="0"/>
        </w:numPr>
        <w:spacing w:before="3" w:after="0" w:line="288" w:lineRule="auto"/>
        <w:ind w:left="0" w:right="0" w:firstLine="0"/>
        <w:jc w:val="left"/>
        <w:outlineLvl w:val="9"/>
        <w:rPr>
          <w:rFonts w:ascii="Calibri" w:eastAsia="Calibri" w:hAnsi="Calibri" w:cs="Calibri"/>
          <w:b w:val="0"/>
          <w:i/>
          <w:color w:val="000000"/>
          <w:sz w:val="21"/>
          <w:u w:val="none"/>
        </w:rPr>
      </w:pPr>
    </w:p>
    <w:p w:rsidR="00A77B3E">
      <w:pPr>
        <w:keepNext w:val="0"/>
        <w:keepLines w:val="0"/>
        <w:pageBreakBefore w:val="0"/>
        <w:widowControl/>
        <w:numPr>
          <w:ilvl w:val="0"/>
          <w:numId w:val="0"/>
        </w:numPr>
        <w:spacing w:before="0" w:after="0" w:line="288" w:lineRule="auto"/>
        <w:ind w:left="0" w:right="0"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CHARLOTTE, N.C., October 8, 2026 – NN, Inc. (“NN” or the “Company”) (NASDAQ: NNBR), a global leader in precision manufacturing, today announced that it had completed an important balance sheet transaction.</w:t>
      </w:r>
    </w:p>
    <w:p w:rsidR="00A77B3E">
      <w:pPr>
        <w:keepNext w:val="0"/>
        <w:keepLines w:val="0"/>
        <w:pageBreakBefore w:val="0"/>
        <w:widowControl/>
        <w:numPr>
          <w:ilvl w:val="0"/>
          <w:numId w:val="0"/>
        </w:numPr>
        <w:spacing w:before="0" w:after="0" w:line="288" w:lineRule="auto"/>
        <w:ind w:left="0" w:right="0"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8" w:lineRule="auto"/>
        <w:ind w:left="0" w:right="0"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 xml:space="preserve">The Company has redeemed, paid off and eliminated all of its remaining 18,400 outstanding shares of its Series D Perpetual Preferred Stock, par value $0.01 per share (the “Preferred Stock") for approximately $30.7 million. </w:t>
      </w:r>
    </w:p>
    <w:p w:rsidR="00A77B3E">
      <w:pPr>
        <w:keepNext w:val="0"/>
        <w:keepLines w:val="0"/>
        <w:pageBreakBefore w:val="0"/>
        <w:widowControl/>
        <w:numPr>
          <w:ilvl w:val="0"/>
          <w:numId w:val="0"/>
        </w:numPr>
        <w:spacing w:before="0" w:after="0" w:line="288" w:lineRule="auto"/>
        <w:ind w:left="0" w:right="0"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8" w:lineRule="auto"/>
        <w:ind w:left="0" w:right="0"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The redemption was funded with proceeds raised from the Company's $53.1 million private investment in public equity (PIPE) private placement completed on October 5, 2026. Additionally, the timing of this action enabled the Company to take advantage of a $5.0 million incentive provided under a prior agreement with the sole holder of the security. Thus, the $35.7 million value of the security was redeemed for $30.7 million.</w:t>
      </w:r>
    </w:p>
    <w:p w:rsidR="00A77B3E">
      <w:pPr>
        <w:keepNext w:val="0"/>
        <w:keepLines w:val="0"/>
        <w:pageBreakBefore w:val="0"/>
        <w:widowControl/>
        <w:numPr>
          <w:ilvl w:val="0"/>
          <w:numId w:val="0"/>
        </w:numPr>
        <w:spacing w:before="0" w:after="0" w:line="288" w:lineRule="auto"/>
        <w:ind w:left="0" w:right="0"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8" w:lineRule="auto"/>
        <w:ind w:left="0" w:right="0"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This security has now been eliminated from NN’s balance sheet. No shares of the Preferred Stock remain outstanding. All of the holder’s rights associated with the Preferred Stock have also been eliminated. This completes an important stepping stone in the transformation of NN, its capital structure, and its business plan.</w:t>
      </w:r>
    </w:p>
    <w:p w:rsidR="00A77B3E">
      <w:pPr>
        <w:keepNext w:val="0"/>
        <w:keepLines w:val="0"/>
        <w:pageBreakBefore w:val="0"/>
        <w:widowControl/>
        <w:numPr>
          <w:ilvl w:val="0"/>
          <w:numId w:val="0"/>
        </w:numPr>
        <w:spacing w:before="0" w:after="0" w:line="288" w:lineRule="auto"/>
        <w:ind w:left="0" w:right="0" w:firstLine="0"/>
        <w:jc w:val="both"/>
        <w:outlineLvl w:val="9"/>
        <w:rPr>
          <w:rFonts w:ascii="Calibri" w:eastAsia="Calibri" w:hAnsi="Calibri" w:cs="Calibri"/>
          <w:b w:val="0"/>
          <w:i w:val="0"/>
          <w:color w:val="000000"/>
          <w:sz w:val="22"/>
          <w:u w:val="none"/>
        </w:rPr>
      </w:pPr>
    </w:p>
    <w:p w:rsidR="00A77B3E">
      <w:pPr>
        <w:keepNext w:val="0"/>
        <w:keepLines w:val="0"/>
        <w:pageBreakBefore w:val="0"/>
        <w:widowControl/>
        <w:numPr>
          <w:ilvl w:val="0"/>
          <w:numId w:val="0"/>
        </w:numPr>
        <w:spacing w:before="0" w:after="0" w:line="288" w:lineRule="auto"/>
        <w:ind w:left="0" w:right="0"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Harold Bevis, President and CEO of NN, commented, “NN has significantly deleveraged during 2026. We will use this newly created capital flexibility to accelerate our business plans. We also intend to refinance our Term Loan at the right time and further improve our capital structure. The Company will provide updated guidance during our next earnings call on October 29</w:t>
      </w:r>
      <w:r>
        <w:rPr>
          <w:rFonts w:ascii="Arial" w:eastAsia="Arial" w:hAnsi="Arial" w:cs="Arial"/>
          <w:b w:val="0"/>
          <w:i w:val="0"/>
          <w:sz w:val="21"/>
          <w:vertAlign w:val="superscript"/>
        </w:rPr>
        <w:t>th</w:t>
      </w:r>
      <w:r>
        <w:rPr>
          <w:rFonts w:ascii="Arial" w:eastAsia="Arial" w:hAnsi="Arial" w:cs="Arial"/>
          <w:b w:val="0"/>
          <w:i w:val="0"/>
          <w:sz w:val="21"/>
        </w:rPr>
        <w:t>, 2026."</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i w:val="0"/>
          <w:sz w:val="21"/>
        </w:rPr>
        <w:t>About NN, Inc.</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val="0"/>
          <w:sz w:val="21"/>
        </w:rPr>
        <w:t>NN, Inc. (NASDAQ: NNBR) is an entrepreneurial manufacturing company specializing in manufacturing micron-tolerance precision metal componentry for high-growth end markets, especially Data Center, Electric Grid, Medical, Defense, and High-Value Vehicle systems. Founded in 1980, NN serves over 700 customers on 4 continents through its 2,700 person workforce operating out of 27 global plants. This footprint enables rapid innovation and globally scaled solutions. For more information, visit nninc.com.</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i w:val="0"/>
          <w:color w:val="000000"/>
          <w:sz w:val="21"/>
          <w:highlight w:val="white"/>
          <w:u w:val="none"/>
        </w:rPr>
        <w:t>Forward Looking Statements</w:t>
      </w: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1"/>
          <w:u w:val="none"/>
        </w:rPr>
      </w:pPr>
    </w:p>
    <w:p w:rsidR="00A77B3E">
      <w:pPr>
        <w:keepNext w:val="0"/>
        <w:keepLines w:val="0"/>
        <w:pageBreakBefore w:val="0"/>
        <w:widowControl/>
        <w:numPr>
          <w:ilvl w:val="0"/>
          <w:numId w:val="0"/>
        </w:numPr>
        <w:spacing w:before="0" w:after="0" w:line="283" w:lineRule="auto"/>
        <w:ind w:left="0" w:right="144" w:firstLine="0"/>
        <w:jc w:val="both"/>
        <w:outlineLvl w:val="9"/>
        <w:rPr>
          <w:rFonts w:ascii="Calibri" w:eastAsia="Calibri" w:hAnsi="Calibri" w:cs="Calibri"/>
          <w:b w:val="0"/>
          <w:i w:val="0"/>
          <w:color w:val="000000"/>
          <w:sz w:val="22"/>
          <w:u w:val="none"/>
        </w:rPr>
      </w:pPr>
      <w:r>
        <w:rPr>
          <w:rFonts w:ascii="Arial" w:eastAsia="Arial" w:hAnsi="Arial" w:cs="Arial"/>
          <w:b w:val="0"/>
          <w:i/>
          <w:color w:val="000000"/>
          <w:sz w:val="21"/>
          <w:highlight w:val="white"/>
          <w:u w:val="none"/>
        </w:rPr>
        <w:t>This press release may contain forward-looking statements regarding our business, operations, and financial performance. Such statements are based on current expectations and assumptions that are subject to a number of risks and uncertainties. Actual results could differ materially. Please refer to our most recently filed Form 10-K and our Form 10-Q for the period following that Form 10-K, including the risk factors described therein. We undertake no obligation to update any forward-looking statement, except as required by law. Given these risks and uncertainties, investors are cautioned not to place undue reliance on such forward-looking statements.</w:t>
      </w:r>
    </w:p>
    <w:p w:rsidR="00A77B3E">
      <w:pPr>
        <w:keepNext w:val="0"/>
        <w:keepLines w:val="0"/>
        <w:pageBreakBefore w:val="0"/>
        <w:widowControl/>
        <w:numPr>
          <w:ilvl w:val="0"/>
          <w:numId w:val="0"/>
        </w:numPr>
        <w:spacing w:before="0" w:after="0" w:line="283" w:lineRule="auto"/>
        <w:ind w:left="101" w:right="144" w:firstLine="0"/>
        <w:jc w:val="both"/>
        <w:outlineLvl w:val="9"/>
        <w:rPr>
          <w:rFonts w:ascii="Calibri" w:eastAsia="Calibri" w:hAnsi="Calibri" w:cs="Calibri"/>
          <w:b w:val="0"/>
          <w:i w:val="0"/>
          <w:color w:val="000000"/>
          <w:sz w:val="21"/>
          <w:u w:val="none"/>
        </w:rPr>
      </w:pPr>
    </w:p>
    <w:p w:rsidR="00A77B3E">
      <w:pPr>
        <w:pStyle w:val="paragraph"/>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r>
        <w:rPr>
          <w:rFonts w:ascii="Arial" w:eastAsia="Arial" w:hAnsi="Arial" w:cs="Arial"/>
          <w:b/>
          <w:i w:val="0"/>
          <w:color w:val="000000"/>
          <w:sz w:val="21"/>
          <w:highlight w:val="white"/>
          <w:u w:val="none"/>
        </w:rPr>
        <w:t>Investor Relations:</w:t>
      </w:r>
      <w:r>
        <w:rPr>
          <w:rFonts w:ascii="Arial" w:eastAsia="Arial" w:hAnsi="Arial" w:cs="Arial"/>
          <w:b w:val="0"/>
          <w:i w:val="0"/>
          <w:color w:val="000000"/>
          <w:sz w:val="21"/>
          <w:highlight w:val="white"/>
          <w:u w:val="none"/>
        </w:rPr>
        <w:t> </w:t>
      </w:r>
    </w:p>
    <w:p w:rsidR="00A77B3E">
      <w:pPr>
        <w:pStyle w:val="paragraph"/>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r>
        <w:rPr>
          <w:rFonts w:ascii="Arial" w:eastAsia="Arial" w:hAnsi="Arial" w:cs="Arial"/>
          <w:b w:val="0"/>
          <w:i w:val="0"/>
          <w:color w:val="000000"/>
          <w:sz w:val="21"/>
          <w:u w:val="none"/>
        </w:rPr>
        <w:t>Joe Caminiti</w:t>
      </w:r>
    </w:p>
    <w:p w:rsidR="00A77B3E">
      <w:pPr>
        <w:pStyle w:val="paragraph"/>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r>
        <w:rPr>
          <w:rFonts w:ascii="Arial" w:eastAsia="Arial" w:hAnsi="Arial" w:cs="Arial"/>
          <w:b w:val="0"/>
          <w:i w:val="0"/>
          <w:color w:val="0000FF"/>
          <w:sz w:val="21"/>
          <w:u w:val="single"/>
        </w:rPr>
        <w:t>NNBR@alpha-ir.com</w:t>
      </w:r>
      <w:r>
        <w:rPr>
          <w:rFonts w:ascii="Arial" w:eastAsia="Arial" w:hAnsi="Arial" w:cs="Arial"/>
          <w:b w:val="0"/>
          <w:i w:val="0"/>
          <w:color w:val="000000"/>
          <w:sz w:val="21"/>
          <w:u w:val="none"/>
        </w:rPr>
        <w:t>  </w:t>
      </w:r>
    </w:p>
    <w:p w:rsidR="00A77B3E">
      <w:pPr>
        <w:pStyle w:val="paragraph"/>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r>
        <w:rPr>
          <w:rFonts w:ascii="Arial" w:eastAsia="Arial" w:hAnsi="Arial" w:cs="Arial"/>
          <w:b w:val="0"/>
          <w:i w:val="0"/>
          <w:color w:val="000000"/>
          <w:sz w:val="21"/>
          <w:u w:val="none"/>
        </w:rPr>
        <w:t>312-445-2870 </w:t>
      </w:r>
    </w:p>
    <w:sectPr>
      <w:headerReference w:type="default" r:id="rId16"/>
      <w:footerReference w:type="default" r:id="rId17"/>
      <w:pgSz w:w="12240" w:h="15840"/>
      <w:pgMar w:top="605" w:right="605" w:bottom="605" w:left="619"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Calibri" w:eastAsia="Calibri" w:hAnsi="Calibri" w:cs="Calibri"/>
        <w:b w:val="0"/>
        <w:i w:val="0"/>
        <w:color w:val="000000"/>
        <w:sz w:val="22"/>
        <w:u w:val="none"/>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Calibri" w:eastAsia="Calibri" w:hAnsi="Calibri" w:cs="Calibri"/>
        <w:b w:val="0"/>
        <w:i w:val="0"/>
        <w:color w:val="000000"/>
        <w:sz w:val="22"/>
        <w:u w:val="non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nsid w:val="00000002"/>
    <w:multiLevelType w:val="multilevel"/>
    <w:tmpl w:val="00000002"/>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noLeading/>
    <w:suppressTopSpacingWP/>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numbering" w:customStyle="1" w:styleId="bulletround">
    <w:name w:val="bullet.round"/>
    <w:pPr>
      <w:numPr>
        <w:numId w:val="1"/>
      </w:numPr>
    </w:pPr>
  </w:style>
  <w:style w:type="numbering" w:customStyle="1" w:styleId="listarabic">
    <w:name w:val="list.arabic"/>
    <w:pPr>
      <w:numPr>
        <w:numId w:val="2"/>
      </w:numPr>
    </w:pPr>
  </w:style>
  <w:style w:type="numbering" w:customStyle="1" w:styleId="outlinearabic">
    <w:name w:val="outline.arabic"/>
    <w:pPr>
      <w:numPr>
        <w:numId w:val="3"/>
      </w:numPr>
    </w:pPr>
  </w:style>
  <w:style w:type="paragraph" w:customStyle="1" w:styleId="Normal-wk">
    <w:name w:val="Normal-wk"/>
    <w:qFormat/>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4"/>
    </w:rPr>
  </w:style>
  <w:style w:type="paragraph" w:styleId="Footer">
    <w:name w:val="footer"/>
    <w:basedOn w:val="Normal"/>
    <w:link w:val="FooterChar"/>
    <w:uiPriority w:val="99"/>
    <w:rsid w:val="000F3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DF7"/>
  </w:style>
  <w:style w:type="paragraph" w:customStyle="1" w:styleId="Footer-wk">
    <w:name w:val="Footer-wk"/>
    <w:qFormat/>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4"/>
    </w:rPr>
  </w:style>
  <w:style w:type="paragraph" w:customStyle="1" w:styleId="MacPacTrailer">
    <w:name w:val="MacPac Trailer"/>
    <w:qFormat/>
    <w:pPr>
      <w:keepNext w:val="0"/>
      <w:keepLines w:val="0"/>
      <w:spacing w:before="0" w:after="0" w:line="341" w:lineRule="auto"/>
      <w:ind w:left="0" w:firstLine="0"/>
      <w:jc w:val="left"/>
    </w:pPr>
    <w:rPr>
      <w:rFonts w:ascii="Arial" w:eastAsia="Arial" w:hAnsi="Arial" w:cs="Arial"/>
      <w:b w:val="0"/>
      <w:i w:val="0"/>
      <w:color w:val="000000"/>
      <w:spacing w:val="0"/>
      <w:sz w:val="14"/>
    </w:rPr>
  </w:style>
  <w:style w:type="table" w:customStyle="1" w:styleId="TableNormal-W">
    <w:name w:val="Table Normal-W"/>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0"/>
    </w:rPr>
    <w:tblPr/>
  </w:style>
  <w:style w:type="character" w:styleId="LineNumber">
    <w:name w:val="line number"/>
    <w:basedOn w:val="DefaultParagraphFont"/>
    <w:uiPriority w:val="99"/>
    <w:rsid w:val="0041372D"/>
    <w:rPr>
      <w:rFonts w:ascii="Times New Roman" w:eastAsia="Times New Roman" w:hAnsi="Times New Roman" w:cs="Times New Roman"/>
      <w:sz w:val="24"/>
    </w:rPr>
  </w:style>
  <w:style w:type="paragraph" w:customStyle="1" w:styleId="BodyText-wk">
    <w:name w:val="Body Text-wk"/>
    <w:qFormat/>
    <w:pPr>
      <w:keepNext w:val="0"/>
      <w:keepLines w:val="0"/>
      <w:spacing w:before="0" w:after="0" w:line="240" w:lineRule="auto"/>
      <w:ind w:left="0" w:firstLine="0"/>
      <w:jc w:val="left"/>
    </w:pPr>
    <w:rPr>
      <w:rFonts w:ascii="Calibri" w:eastAsia="Calibri" w:hAnsi="Calibri" w:cs="Calibri"/>
      <w:b w:val="0"/>
      <w:i/>
      <w:color w:val="000000"/>
      <w:spacing w:val="0"/>
      <w:sz w:val="18"/>
    </w:rPr>
  </w:style>
  <w:style w:type="paragraph" w:customStyle="1" w:styleId="Heading1-wk">
    <w:name w:val="Heading 1-wk"/>
    <w:qFormat/>
    <w:pPr>
      <w:keepNext w:val="0"/>
      <w:keepLines w:val="0"/>
      <w:spacing w:before="0" w:after="0" w:line="240" w:lineRule="auto"/>
      <w:ind w:left="100" w:firstLine="0"/>
      <w:jc w:val="left"/>
    </w:pPr>
    <w:rPr>
      <w:rFonts w:ascii="Calibri" w:eastAsia="Calibri" w:hAnsi="Calibri" w:cs="Calibri"/>
      <w:b/>
      <w:i w:val="0"/>
      <w:color w:val="000000"/>
      <w:spacing w:val="0"/>
      <w:sz w:val="22"/>
    </w:rPr>
  </w:style>
  <w:style w:type="paragraph" w:customStyle="1" w:styleId="paragraph">
    <w:name w:val="paragraph"/>
    <w:qFormat/>
    <w:pPr>
      <w:keepNext w:val="0"/>
      <w:keepLines w:val="0"/>
      <w:spacing w:before="100" w:after="100" w:line="240" w:lineRule="auto"/>
      <w:ind w:left="0" w:firstLine="0"/>
      <w:jc w:val="left"/>
    </w:pPr>
    <w:rPr>
      <w:rFonts w:ascii="Times New Roman" w:eastAsia="Times New Roman" w:hAnsi="Times New Roman" w:cs="Times New Roman"/>
      <w:b w:val="0"/>
      <w:i w:val="0"/>
      <w:color w:val="000000"/>
      <w:spacing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wurl://docs.v1/doc:5950fe3cf1274467843566a560b7e694" TargetMode="External" /><Relationship Id="rId11" Type="http://schemas.openxmlformats.org/officeDocument/2006/relationships/hyperlink" Target="wurl://docs.v1/doc:5950fe3cf1274467843566a560b7e694"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yperlink" Target="wurl://docs.v1/doc:5950fe3cf1274467843566a560b7e694" TargetMode="External" /><Relationship Id="rId9" Type="http://schemas.openxmlformats.org/officeDocument/2006/relationships/hyperlink" Target="wurl://docs.v1/doc:5950fe3cf1274467843566a560b7e694" TargetMode="External" /><Relationship Id="rId15" Type="http://schemas.openxmlformats.org/officeDocument/2006/relationships/image" Target="media/image2.png" /><Relationship Id="rId16" Type="http://schemas.openxmlformats.org/officeDocument/2006/relationships/header" Target="header3.xml" /><Relationship Id="rId17"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 - Form 8-K 2026-10-08 Series D Redemption</dc:title>
  <cp:revision>1</cp:revision>
</cp:coreProperties>
</file>